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6D4D3" w14:textId="551CFE24" w:rsidR="000B585E" w:rsidRPr="004C1989" w:rsidRDefault="000B585E" w:rsidP="006819AF">
      <w:r w:rsidRPr="004C1989">
        <w:t>Cloud Services</w:t>
      </w:r>
    </w:p>
    <w:p w14:paraId="55DF846F" w14:textId="77777777" w:rsidR="000B585E" w:rsidRDefault="000B585E" w:rsidP="00CB6CEA">
      <w:pPr>
        <w:pStyle w:val="Subtitle"/>
      </w:pPr>
      <w:r>
        <w:t>A Framework for Adoption in the Regulated Life Sciences Industry</w:t>
      </w:r>
    </w:p>
    <w:p w14:paraId="526BA125" w14:textId="77777777" w:rsidR="00184A8D" w:rsidRDefault="00184A8D" w:rsidP="00F13802"/>
    <w:p w14:paraId="0611F70A" w14:textId="5221C3B9" w:rsidR="00184A8D" w:rsidRPr="004C1989" w:rsidRDefault="00A75122" w:rsidP="00F13802">
      <w:pPr>
        <w:jc w:val="right"/>
        <w:rPr>
          <w:rFonts w:asciiTheme="majorHAnsi" w:eastAsiaTheme="majorEastAsia" w:hAnsiTheme="majorHAnsi" w:cstheme="majorBidi"/>
          <w:color w:val="2E74B5" w:themeColor="accent1" w:themeShade="BF"/>
          <w:spacing w:val="-10"/>
          <w:kern w:val="28"/>
          <w:sz w:val="56"/>
          <w:szCs w:val="56"/>
        </w:rPr>
      </w:pPr>
      <w:r w:rsidRPr="004C1989">
        <w:rPr>
          <w:rFonts w:asciiTheme="majorHAnsi" w:eastAsiaTheme="majorEastAsia" w:hAnsiTheme="majorHAnsi" w:cstheme="majorBidi"/>
          <w:color w:val="2E74B5" w:themeColor="accent1" w:themeShade="BF"/>
          <w:spacing w:val="-10"/>
          <w:kern w:val="28"/>
          <w:sz w:val="56"/>
          <w:szCs w:val="56"/>
        </w:rPr>
        <w:t>Pre-Amble</w:t>
      </w:r>
    </w:p>
    <w:p w14:paraId="7AE871BC" w14:textId="77777777" w:rsidR="000B585E" w:rsidRDefault="000B585E" w:rsidP="00BC0BA2"/>
    <w:p w14:paraId="42602A37" w14:textId="0797441D" w:rsidR="000B585E" w:rsidRDefault="000B585E" w:rsidP="00BC0BA2">
      <w:r w:rsidRPr="004D7B58">
        <w:t xml:space="preserve">Last </w:t>
      </w:r>
      <w:r w:rsidR="00E93E28" w:rsidRPr="004D7B58">
        <w:t>Update</w:t>
      </w:r>
      <w:r w:rsidR="00133A26" w:rsidRPr="004D7B58">
        <w:t xml:space="preserve">: </w:t>
      </w:r>
      <w:r w:rsidR="004D7B58" w:rsidRPr="004D7B58">
        <w:t>2023-06-</w:t>
      </w:r>
      <w:r w:rsidR="00594E76">
        <w:t>22</w:t>
      </w:r>
    </w:p>
    <w:p w14:paraId="7E404FA0" w14:textId="77777777" w:rsidR="000B585E" w:rsidRDefault="000B585E" w:rsidP="00BC0BA2"/>
    <w:p w14:paraId="043BB08E" w14:textId="7BE2E266" w:rsidR="00D307DD" w:rsidRDefault="00CB6CEA" w:rsidP="002543FE">
      <w:pPr>
        <w:jc w:val="both"/>
      </w:pPr>
      <w:r w:rsidRPr="00CB6CEA">
        <w:t xml:space="preserve">This document has been developed by the </w:t>
      </w:r>
      <w:r w:rsidR="00513257">
        <w:t xml:space="preserve">PHUSE Emerging Trends and Technologies </w:t>
      </w:r>
      <w:r w:rsidRPr="00CB6CEA">
        <w:t xml:space="preserve">Working Group on Cloud Adoption and is subject to </w:t>
      </w:r>
      <w:r w:rsidR="00D307DD">
        <w:t xml:space="preserve">ongoing </w:t>
      </w:r>
      <w:r w:rsidRPr="00CB6CEA">
        <w:t xml:space="preserve">consultation and feedback from all relevant stakeholders.  </w:t>
      </w:r>
    </w:p>
    <w:p w14:paraId="00F0DBC8" w14:textId="77777777" w:rsidR="00326D23" w:rsidRPr="00326D23" w:rsidRDefault="00CB6CEA" w:rsidP="002543FE">
      <w:pPr>
        <w:jc w:val="both"/>
      </w:pPr>
      <w:r w:rsidRPr="00CB6CEA">
        <w:t>You may submit comments and sugg</w:t>
      </w:r>
      <w:r w:rsidR="00D307DD">
        <w:t xml:space="preserve">estions regarding this document </w:t>
      </w:r>
      <w:r w:rsidRPr="00326D23">
        <w:t>to</w:t>
      </w:r>
      <w:r w:rsidR="004912BB" w:rsidRPr="00326D23">
        <w:t xml:space="preserve"> </w:t>
      </w:r>
      <w:hyperlink r:id="rId10" w:history="1">
        <w:r w:rsidR="004912BB" w:rsidRPr="00326D23">
          <w:rPr>
            <w:rStyle w:val="Hyperlink"/>
          </w:rPr>
          <w:t>avid@nnit.com</w:t>
        </w:r>
      </w:hyperlink>
      <w:r w:rsidR="00095C89">
        <w:t xml:space="preserve"> (Anders </w:t>
      </w:r>
      <w:proofErr w:type="spellStart"/>
      <w:r w:rsidR="00095C89">
        <w:t>Vidstrup</w:t>
      </w:r>
      <w:proofErr w:type="spellEnd"/>
      <w:r w:rsidR="00095C89">
        <w:t>, NNIT A/S)</w:t>
      </w:r>
      <w:r w:rsidR="004912BB" w:rsidRPr="00326D23">
        <w:t xml:space="preserve">. </w:t>
      </w:r>
    </w:p>
    <w:p w14:paraId="332C30DE" w14:textId="77777777" w:rsidR="00CB6CEA" w:rsidRDefault="00CB6CEA" w:rsidP="00BC0B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5823"/>
      </w:tblGrid>
      <w:tr w:rsidR="003619DC" w14:paraId="6B9F1055" w14:textId="77777777">
        <w:trPr>
          <w:trHeight w:val="1043"/>
        </w:trPr>
        <w:tc>
          <w:tcPr>
            <w:tcW w:w="3258" w:type="dxa"/>
          </w:tcPr>
          <w:p w14:paraId="415B8ABE" w14:textId="7E5319C1" w:rsidR="00CB6CEA" w:rsidRDefault="003F1118" w:rsidP="0097526A">
            <w:r>
              <w:rPr>
                <w:noProof/>
              </w:rPr>
              <w:drawing>
                <wp:inline distT="0" distB="0" distL="0" distR="0" wp14:anchorId="55100BF5" wp14:editId="708C73D7">
                  <wp:extent cx="1566249" cy="1351975"/>
                  <wp:effectExtent l="0" t="0" r="0" b="0"/>
                  <wp:docPr id="1073821882" name="Picture 1073821882" descr="A picture containing graphics, font, 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21882" name="Picture 2" descr="A picture containing graphics, font, logo, circ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8234" cy="1362320"/>
                          </a:xfrm>
                          <a:prstGeom prst="rect">
                            <a:avLst/>
                          </a:prstGeom>
                        </pic:spPr>
                      </pic:pic>
                    </a:graphicData>
                  </a:graphic>
                </wp:inline>
              </w:drawing>
            </w:r>
          </w:p>
        </w:tc>
        <w:tc>
          <w:tcPr>
            <w:tcW w:w="6318" w:type="dxa"/>
            <w:vAlign w:val="center"/>
          </w:tcPr>
          <w:p w14:paraId="6FE6750C" w14:textId="77777777" w:rsidR="00CB6CEA" w:rsidRPr="00102D6B" w:rsidRDefault="00CB6CEA" w:rsidP="0097526A">
            <w:pPr>
              <w:jc w:val="right"/>
              <w:rPr>
                <w:rStyle w:val="Strong"/>
              </w:rPr>
            </w:pPr>
            <w:r w:rsidRPr="00102D6B">
              <w:rPr>
                <w:rStyle w:val="Strong"/>
              </w:rPr>
              <w:t xml:space="preserve">Pharmaceutical User Software Exchange </w:t>
            </w:r>
          </w:p>
          <w:p w14:paraId="77254398" w14:textId="77777777" w:rsidR="00CB6CEA" w:rsidRDefault="00CB6CEA" w:rsidP="0097526A">
            <w:pPr>
              <w:jc w:val="right"/>
            </w:pPr>
            <w:r w:rsidRPr="00102D6B">
              <w:rPr>
                <w:rStyle w:val="Strong"/>
              </w:rPr>
              <w:t>Cloud Adoption</w:t>
            </w:r>
            <w:r>
              <w:rPr>
                <w:rStyle w:val="Strong"/>
              </w:rPr>
              <w:t xml:space="preserve"> Working Group</w:t>
            </w:r>
          </w:p>
        </w:tc>
      </w:tr>
    </w:tbl>
    <w:p w14:paraId="50427F4B" w14:textId="74002CFD" w:rsidR="00BE2133" w:rsidRDefault="00BE2133" w:rsidP="00BC0BA2"/>
    <w:p w14:paraId="45CAECC8" w14:textId="77777777" w:rsidR="00BE2133" w:rsidRDefault="00BE2133">
      <w:r>
        <w:br w:type="page"/>
      </w:r>
    </w:p>
    <w:sdt>
      <w:sdtPr>
        <w:rPr>
          <w:rFonts w:asciiTheme="minorHAnsi" w:eastAsiaTheme="minorHAnsi" w:hAnsiTheme="minorHAnsi" w:cstheme="minorBidi"/>
          <w:color w:val="auto"/>
          <w:sz w:val="22"/>
          <w:szCs w:val="22"/>
        </w:rPr>
        <w:id w:val="-1576267160"/>
        <w:docPartObj>
          <w:docPartGallery w:val="Table of Contents"/>
          <w:docPartUnique/>
        </w:docPartObj>
      </w:sdtPr>
      <w:sdtEndPr>
        <w:rPr>
          <w:b/>
          <w:bCs/>
          <w:noProof/>
        </w:rPr>
      </w:sdtEndPr>
      <w:sdtContent>
        <w:p w14:paraId="654F9759" w14:textId="77777777" w:rsidR="00EA6005" w:rsidRDefault="00EA6005">
          <w:pPr>
            <w:pStyle w:val="TOCHeading"/>
          </w:pPr>
          <w:r>
            <w:t>Contents</w:t>
          </w:r>
        </w:p>
        <w:p w14:paraId="6DFFC5D2" w14:textId="400FD0B4" w:rsidR="00594E76" w:rsidRDefault="0080580B">
          <w:pPr>
            <w:pStyle w:val="TOC1"/>
            <w:rPr>
              <w:rFonts w:eastAsiaTheme="minorEastAsia"/>
              <w:noProof/>
              <w:kern w:val="2"/>
              <w:lang w:val="da-DK" w:eastAsia="da-DK"/>
              <w14:ligatures w14:val="standardContextual"/>
            </w:rPr>
          </w:pPr>
          <w:r>
            <w:fldChar w:fldCharType="begin"/>
          </w:r>
          <w:r>
            <w:instrText xml:space="preserve"> TOC \o "1-4" </w:instrText>
          </w:r>
          <w:r>
            <w:fldChar w:fldCharType="separate"/>
          </w:r>
          <w:r w:rsidR="00594E76">
            <w:rPr>
              <w:noProof/>
            </w:rPr>
            <w:t>1</w:t>
          </w:r>
          <w:r w:rsidR="00594E76">
            <w:rPr>
              <w:rFonts w:eastAsiaTheme="minorEastAsia"/>
              <w:noProof/>
              <w:kern w:val="2"/>
              <w:lang w:val="da-DK" w:eastAsia="da-DK"/>
              <w14:ligatures w14:val="standardContextual"/>
            </w:rPr>
            <w:tab/>
          </w:r>
          <w:r w:rsidR="00594E76">
            <w:rPr>
              <w:noProof/>
            </w:rPr>
            <w:t>Executive Summary</w:t>
          </w:r>
          <w:r w:rsidR="00594E76">
            <w:rPr>
              <w:noProof/>
            </w:rPr>
            <w:tab/>
          </w:r>
          <w:r w:rsidR="00594E76">
            <w:rPr>
              <w:noProof/>
            </w:rPr>
            <w:fldChar w:fldCharType="begin"/>
          </w:r>
          <w:r w:rsidR="00594E76">
            <w:rPr>
              <w:noProof/>
            </w:rPr>
            <w:instrText xml:space="preserve"> PAGEREF _Toc138311598 \h </w:instrText>
          </w:r>
          <w:r w:rsidR="00594E76">
            <w:rPr>
              <w:noProof/>
            </w:rPr>
          </w:r>
          <w:r w:rsidR="00594E76">
            <w:rPr>
              <w:noProof/>
            </w:rPr>
            <w:fldChar w:fldCharType="separate"/>
          </w:r>
          <w:r w:rsidR="00594E76">
            <w:rPr>
              <w:noProof/>
            </w:rPr>
            <w:t>3</w:t>
          </w:r>
          <w:r w:rsidR="00594E76">
            <w:rPr>
              <w:noProof/>
            </w:rPr>
            <w:fldChar w:fldCharType="end"/>
          </w:r>
        </w:p>
        <w:p w14:paraId="08550DD7" w14:textId="3E46A373" w:rsidR="00594E76" w:rsidRDefault="00594E76">
          <w:pPr>
            <w:pStyle w:val="TOC1"/>
            <w:rPr>
              <w:rFonts w:eastAsiaTheme="minorEastAsia"/>
              <w:noProof/>
              <w:kern w:val="2"/>
              <w:lang w:val="da-DK" w:eastAsia="da-DK"/>
              <w14:ligatures w14:val="standardContextual"/>
            </w:rPr>
          </w:pPr>
          <w:r>
            <w:rPr>
              <w:noProof/>
            </w:rPr>
            <w:t>2</w:t>
          </w:r>
          <w:r>
            <w:rPr>
              <w:rFonts w:eastAsiaTheme="minorEastAsia"/>
              <w:noProof/>
              <w:kern w:val="2"/>
              <w:lang w:val="da-DK" w:eastAsia="da-DK"/>
              <w14:ligatures w14:val="standardContextual"/>
            </w:rPr>
            <w:tab/>
          </w:r>
          <w:r>
            <w:rPr>
              <w:noProof/>
            </w:rPr>
            <w:t>Background and Acknowledgements</w:t>
          </w:r>
          <w:r>
            <w:rPr>
              <w:noProof/>
            </w:rPr>
            <w:tab/>
          </w:r>
          <w:r>
            <w:rPr>
              <w:noProof/>
            </w:rPr>
            <w:fldChar w:fldCharType="begin"/>
          </w:r>
          <w:r>
            <w:rPr>
              <w:noProof/>
            </w:rPr>
            <w:instrText xml:space="preserve"> PAGEREF _Toc138311599 \h </w:instrText>
          </w:r>
          <w:r>
            <w:rPr>
              <w:noProof/>
            </w:rPr>
          </w:r>
          <w:r>
            <w:rPr>
              <w:noProof/>
            </w:rPr>
            <w:fldChar w:fldCharType="separate"/>
          </w:r>
          <w:r>
            <w:rPr>
              <w:noProof/>
            </w:rPr>
            <w:t>4</w:t>
          </w:r>
          <w:r>
            <w:rPr>
              <w:noProof/>
            </w:rPr>
            <w:fldChar w:fldCharType="end"/>
          </w:r>
        </w:p>
        <w:p w14:paraId="4200B105" w14:textId="7E635520" w:rsidR="00594E76" w:rsidRDefault="00594E76">
          <w:pPr>
            <w:pStyle w:val="TOC1"/>
            <w:rPr>
              <w:rFonts w:eastAsiaTheme="minorEastAsia"/>
              <w:noProof/>
              <w:kern w:val="2"/>
              <w:lang w:val="da-DK" w:eastAsia="da-DK"/>
              <w14:ligatures w14:val="standardContextual"/>
            </w:rPr>
          </w:pPr>
          <w:r>
            <w:rPr>
              <w:noProof/>
            </w:rPr>
            <w:t>3</w:t>
          </w:r>
          <w:r>
            <w:rPr>
              <w:rFonts w:eastAsiaTheme="minorEastAsia"/>
              <w:noProof/>
              <w:kern w:val="2"/>
              <w:lang w:val="da-DK" w:eastAsia="da-DK"/>
              <w14:ligatures w14:val="standardContextual"/>
            </w:rPr>
            <w:tab/>
          </w:r>
          <w:r>
            <w:rPr>
              <w:noProof/>
            </w:rPr>
            <w:t>Cloud Services – An Introduction</w:t>
          </w:r>
          <w:r>
            <w:rPr>
              <w:noProof/>
            </w:rPr>
            <w:tab/>
          </w:r>
          <w:r>
            <w:rPr>
              <w:noProof/>
            </w:rPr>
            <w:fldChar w:fldCharType="begin"/>
          </w:r>
          <w:r>
            <w:rPr>
              <w:noProof/>
            </w:rPr>
            <w:instrText xml:space="preserve"> PAGEREF _Toc138311600 \h </w:instrText>
          </w:r>
          <w:r>
            <w:rPr>
              <w:noProof/>
            </w:rPr>
          </w:r>
          <w:r>
            <w:rPr>
              <w:noProof/>
            </w:rPr>
            <w:fldChar w:fldCharType="separate"/>
          </w:r>
          <w:r>
            <w:rPr>
              <w:noProof/>
            </w:rPr>
            <w:t>5</w:t>
          </w:r>
          <w:r>
            <w:rPr>
              <w:noProof/>
            </w:rPr>
            <w:fldChar w:fldCharType="end"/>
          </w:r>
        </w:p>
        <w:p w14:paraId="2F93E455" w14:textId="51DD312A" w:rsidR="00594E76" w:rsidRDefault="00594E76">
          <w:pPr>
            <w:pStyle w:val="TOC2"/>
            <w:rPr>
              <w:rFonts w:eastAsiaTheme="minorEastAsia"/>
              <w:noProof/>
              <w:kern w:val="2"/>
              <w:lang w:val="da-DK" w:eastAsia="da-DK"/>
              <w14:ligatures w14:val="standardContextual"/>
            </w:rPr>
          </w:pPr>
          <w:r>
            <w:rPr>
              <w:noProof/>
            </w:rPr>
            <w:t>3.1</w:t>
          </w:r>
          <w:r>
            <w:rPr>
              <w:rFonts w:eastAsiaTheme="minorEastAsia"/>
              <w:noProof/>
              <w:kern w:val="2"/>
              <w:lang w:val="da-DK" w:eastAsia="da-DK"/>
              <w14:ligatures w14:val="standardContextual"/>
            </w:rPr>
            <w:tab/>
          </w:r>
          <w:r>
            <w:rPr>
              <w:noProof/>
            </w:rPr>
            <w:t>Cloud Service Models vs. Traditional Computerized System</w:t>
          </w:r>
          <w:r>
            <w:rPr>
              <w:noProof/>
            </w:rPr>
            <w:tab/>
          </w:r>
          <w:r>
            <w:rPr>
              <w:noProof/>
            </w:rPr>
            <w:fldChar w:fldCharType="begin"/>
          </w:r>
          <w:r>
            <w:rPr>
              <w:noProof/>
            </w:rPr>
            <w:instrText xml:space="preserve"> PAGEREF _Toc138311601 \h </w:instrText>
          </w:r>
          <w:r>
            <w:rPr>
              <w:noProof/>
            </w:rPr>
          </w:r>
          <w:r>
            <w:rPr>
              <w:noProof/>
            </w:rPr>
            <w:fldChar w:fldCharType="separate"/>
          </w:r>
          <w:r>
            <w:rPr>
              <w:noProof/>
            </w:rPr>
            <w:t>6</w:t>
          </w:r>
          <w:r>
            <w:rPr>
              <w:noProof/>
            </w:rPr>
            <w:fldChar w:fldCharType="end"/>
          </w:r>
        </w:p>
        <w:p w14:paraId="57AB70B6" w14:textId="01D0C854" w:rsidR="00594E76" w:rsidRDefault="00594E76">
          <w:pPr>
            <w:pStyle w:val="TOC3"/>
            <w:rPr>
              <w:rFonts w:eastAsiaTheme="minorEastAsia"/>
              <w:noProof/>
              <w:kern w:val="2"/>
              <w:lang w:val="da-DK" w:eastAsia="da-DK"/>
              <w14:ligatures w14:val="standardContextual"/>
            </w:rPr>
          </w:pPr>
          <w:r>
            <w:rPr>
              <w:noProof/>
            </w:rPr>
            <w:t>3.1.1</w:t>
          </w:r>
          <w:r>
            <w:rPr>
              <w:rFonts w:eastAsiaTheme="minorEastAsia"/>
              <w:noProof/>
              <w:kern w:val="2"/>
              <w:lang w:val="da-DK" w:eastAsia="da-DK"/>
              <w14:ligatures w14:val="standardContextual"/>
            </w:rPr>
            <w:tab/>
          </w:r>
          <w:r>
            <w:rPr>
              <w:noProof/>
            </w:rPr>
            <w:t>GxP Computerized System Context</w:t>
          </w:r>
          <w:r>
            <w:rPr>
              <w:noProof/>
            </w:rPr>
            <w:tab/>
          </w:r>
          <w:r>
            <w:rPr>
              <w:noProof/>
            </w:rPr>
            <w:fldChar w:fldCharType="begin"/>
          </w:r>
          <w:r>
            <w:rPr>
              <w:noProof/>
            </w:rPr>
            <w:instrText xml:space="preserve"> PAGEREF _Toc138311602 \h </w:instrText>
          </w:r>
          <w:r>
            <w:rPr>
              <w:noProof/>
            </w:rPr>
          </w:r>
          <w:r>
            <w:rPr>
              <w:noProof/>
            </w:rPr>
            <w:fldChar w:fldCharType="separate"/>
          </w:r>
          <w:r>
            <w:rPr>
              <w:noProof/>
            </w:rPr>
            <w:t>6</w:t>
          </w:r>
          <w:r>
            <w:rPr>
              <w:noProof/>
            </w:rPr>
            <w:fldChar w:fldCharType="end"/>
          </w:r>
        </w:p>
        <w:p w14:paraId="670FDC2B" w14:textId="1BB15B36" w:rsidR="00594E76" w:rsidRDefault="00594E76">
          <w:pPr>
            <w:pStyle w:val="TOC3"/>
            <w:rPr>
              <w:rFonts w:eastAsiaTheme="minorEastAsia"/>
              <w:noProof/>
              <w:kern w:val="2"/>
              <w:lang w:val="da-DK" w:eastAsia="da-DK"/>
              <w14:ligatures w14:val="standardContextual"/>
            </w:rPr>
          </w:pPr>
          <w:r>
            <w:rPr>
              <w:noProof/>
            </w:rPr>
            <w:t>3.1.2</w:t>
          </w:r>
          <w:r>
            <w:rPr>
              <w:rFonts w:eastAsiaTheme="minorEastAsia"/>
              <w:noProof/>
              <w:kern w:val="2"/>
              <w:lang w:val="da-DK" w:eastAsia="da-DK"/>
              <w14:ligatures w14:val="standardContextual"/>
            </w:rPr>
            <w:tab/>
          </w:r>
          <w:r>
            <w:rPr>
              <w:noProof/>
            </w:rPr>
            <w:t>Cloud Service Models</w:t>
          </w:r>
          <w:r>
            <w:rPr>
              <w:noProof/>
            </w:rPr>
            <w:tab/>
          </w:r>
          <w:r>
            <w:rPr>
              <w:noProof/>
            </w:rPr>
            <w:fldChar w:fldCharType="begin"/>
          </w:r>
          <w:r>
            <w:rPr>
              <w:noProof/>
            </w:rPr>
            <w:instrText xml:space="preserve"> PAGEREF _Toc138311603 \h </w:instrText>
          </w:r>
          <w:r>
            <w:rPr>
              <w:noProof/>
            </w:rPr>
          </w:r>
          <w:r>
            <w:rPr>
              <w:noProof/>
            </w:rPr>
            <w:fldChar w:fldCharType="separate"/>
          </w:r>
          <w:r>
            <w:rPr>
              <w:noProof/>
            </w:rPr>
            <w:t>7</w:t>
          </w:r>
          <w:r>
            <w:rPr>
              <w:noProof/>
            </w:rPr>
            <w:fldChar w:fldCharType="end"/>
          </w:r>
        </w:p>
        <w:p w14:paraId="667E4698" w14:textId="7891B05F" w:rsidR="00594E76" w:rsidRDefault="00594E76">
          <w:pPr>
            <w:pStyle w:val="TOC4"/>
            <w:rPr>
              <w:rFonts w:eastAsiaTheme="minorEastAsia"/>
              <w:noProof/>
              <w:kern w:val="2"/>
              <w:lang w:val="da-DK" w:eastAsia="da-DK"/>
              <w14:ligatures w14:val="standardContextual"/>
            </w:rPr>
          </w:pPr>
          <w:r>
            <w:rPr>
              <w:noProof/>
            </w:rPr>
            <w:t>3.1.2.1</w:t>
          </w:r>
          <w:r>
            <w:rPr>
              <w:rFonts w:eastAsiaTheme="minorEastAsia"/>
              <w:noProof/>
              <w:kern w:val="2"/>
              <w:lang w:val="da-DK" w:eastAsia="da-DK"/>
              <w14:ligatures w14:val="standardContextual"/>
            </w:rPr>
            <w:tab/>
          </w:r>
          <w:r>
            <w:rPr>
              <w:noProof/>
            </w:rPr>
            <w:t>Infrastructure as a Service (IaaS)</w:t>
          </w:r>
          <w:r>
            <w:rPr>
              <w:noProof/>
            </w:rPr>
            <w:tab/>
          </w:r>
          <w:r>
            <w:rPr>
              <w:noProof/>
            </w:rPr>
            <w:fldChar w:fldCharType="begin"/>
          </w:r>
          <w:r>
            <w:rPr>
              <w:noProof/>
            </w:rPr>
            <w:instrText xml:space="preserve"> PAGEREF _Toc138311604 \h </w:instrText>
          </w:r>
          <w:r>
            <w:rPr>
              <w:noProof/>
            </w:rPr>
          </w:r>
          <w:r>
            <w:rPr>
              <w:noProof/>
            </w:rPr>
            <w:fldChar w:fldCharType="separate"/>
          </w:r>
          <w:r>
            <w:rPr>
              <w:noProof/>
            </w:rPr>
            <w:t>8</w:t>
          </w:r>
          <w:r>
            <w:rPr>
              <w:noProof/>
            </w:rPr>
            <w:fldChar w:fldCharType="end"/>
          </w:r>
        </w:p>
        <w:p w14:paraId="1567216B" w14:textId="32DBAE67" w:rsidR="00594E76" w:rsidRDefault="00594E76">
          <w:pPr>
            <w:pStyle w:val="TOC4"/>
            <w:rPr>
              <w:rFonts w:eastAsiaTheme="minorEastAsia"/>
              <w:noProof/>
              <w:kern w:val="2"/>
              <w:lang w:val="da-DK" w:eastAsia="da-DK"/>
              <w14:ligatures w14:val="standardContextual"/>
            </w:rPr>
          </w:pPr>
          <w:r>
            <w:rPr>
              <w:noProof/>
            </w:rPr>
            <w:t>3.1.2.2</w:t>
          </w:r>
          <w:r>
            <w:rPr>
              <w:rFonts w:eastAsiaTheme="minorEastAsia"/>
              <w:noProof/>
              <w:kern w:val="2"/>
              <w:lang w:val="da-DK" w:eastAsia="da-DK"/>
              <w14:ligatures w14:val="standardContextual"/>
            </w:rPr>
            <w:tab/>
          </w:r>
          <w:r>
            <w:rPr>
              <w:noProof/>
            </w:rPr>
            <w:t>Platform as a Service (PaaS)</w:t>
          </w:r>
          <w:r>
            <w:rPr>
              <w:noProof/>
            </w:rPr>
            <w:tab/>
          </w:r>
          <w:r>
            <w:rPr>
              <w:noProof/>
            </w:rPr>
            <w:fldChar w:fldCharType="begin"/>
          </w:r>
          <w:r>
            <w:rPr>
              <w:noProof/>
            </w:rPr>
            <w:instrText xml:space="preserve"> PAGEREF _Toc138311605 \h </w:instrText>
          </w:r>
          <w:r>
            <w:rPr>
              <w:noProof/>
            </w:rPr>
          </w:r>
          <w:r>
            <w:rPr>
              <w:noProof/>
            </w:rPr>
            <w:fldChar w:fldCharType="separate"/>
          </w:r>
          <w:r>
            <w:rPr>
              <w:noProof/>
            </w:rPr>
            <w:t>9</w:t>
          </w:r>
          <w:r>
            <w:rPr>
              <w:noProof/>
            </w:rPr>
            <w:fldChar w:fldCharType="end"/>
          </w:r>
        </w:p>
        <w:p w14:paraId="3079C470" w14:textId="3EEEFC38" w:rsidR="00594E76" w:rsidRDefault="00594E76">
          <w:pPr>
            <w:pStyle w:val="TOC4"/>
            <w:rPr>
              <w:rFonts w:eastAsiaTheme="minorEastAsia"/>
              <w:noProof/>
              <w:kern w:val="2"/>
              <w:lang w:val="da-DK" w:eastAsia="da-DK"/>
              <w14:ligatures w14:val="standardContextual"/>
            </w:rPr>
          </w:pPr>
          <w:r>
            <w:rPr>
              <w:noProof/>
            </w:rPr>
            <w:t>3.1.2.3</w:t>
          </w:r>
          <w:r>
            <w:rPr>
              <w:rFonts w:eastAsiaTheme="minorEastAsia"/>
              <w:noProof/>
              <w:kern w:val="2"/>
              <w:lang w:val="da-DK" w:eastAsia="da-DK"/>
              <w14:ligatures w14:val="standardContextual"/>
            </w:rPr>
            <w:tab/>
          </w:r>
          <w:r>
            <w:rPr>
              <w:noProof/>
            </w:rPr>
            <w:t>Software as a Service (SaaS)</w:t>
          </w:r>
          <w:r>
            <w:rPr>
              <w:noProof/>
            </w:rPr>
            <w:tab/>
          </w:r>
          <w:r>
            <w:rPr>
              <w:noProof/>
            </w:rPr>
            <w:fldChar w:fldCharType="begin"/>
          </w:r>
          <w:r>
            <w:rPr>
              <w:noProof/>
            </w:rPr>
            <w:instrText xml:space="preserve"> PAGEREF _Toc138311606 \h </w:instrText>
          </w:r>
          <w:r>
            <w:rPr>
              <w:noProof/>
            </w:rPr>
          </w:r>
          <w:r>
            <w:rPr>
              <w:noProof/>
            </w:rPr>
            <w:fldChar w:fldCharType="separate"/>
          </w:r>
          <w:r>
            <w:rPr>
              <w:noProof/>
            </w:rPr>
            <w:t>9</w:t>
          </w:r>
          <w:r>
            <w:rPr>
              <w:noProof/>
            </w:rPr>
            <w:fldChar w:fldCharType="end"/>
          </w:r>
        </w:p>
        <w:p w14:paraId="4A71C9DD" w14:textId="61BE6674" w:rsidR="00594E76" w:rsidRDefault="00594E76">
          <w:pPr>
            <w:pStyle w:val="TOC2"/>
            <w:rPr>
              <w:rFonts w:eastAsiaTheme="minorEastAsia"/>
              <w:noProof/>
              <w:kern w:val="2"/>
              <w:lang w:val="da-DK" w:eastAsia="da-DK"/>
              <w14:ligatures w14:val="standardContextual"/>
            </w:rPr>
          </w:pPr>
          <w:r>
            <w:rPr>
              <w:noProof/>
            </w:rPr>
            <w:t>3.2</w:t>
          </w:r>
          <w:r>
            <w:rPr>
              <w:rFonts w:eastAsiaTheme="minorEastAsia"/>
              <w:noProof/>
              <w:kern w:val="2"/>
              <w:lang w:val="da-DK" w:eastAsia="da-DK"/>
              <w14:ligatures w14:val="standardContextual"/>
            </w:rPr>
            <w:tab/>
          </w:r>
          <w:r>
            <w:rPr>
              <w:noProof/>
            </w:rPr>
            <w:t>IT Supply Chain in the Cloud Era</w:t>
          </w:r>
          <w:r>
            <w:rPr>
              <w:noProof/>
            </w:rPr>
            <w:tab/>
          </w:r>
          <w:r>
            <w:rPr>
              <w:noProof/>
            </w:rPr>
            <w:fldChar w:fldCharType="begin"/>
          </w:r>
          <w:r>
            <w:rPr>
              <w:noProof/>
            </w:rPr>
            <w:instrText xml:space="preserve"> PAGEREF _Toc138311607 \h </w:instrText>
          </w:r>
          <w:r>
            <w:rPr>
              <w:noProof/>
            </w:rPr>
          </w:r>
          <w:r>
            <w:rPr>
              <w:noProof/>
            </w:rPr>
            <w:fldChar w:fldCharType="separate"/>
          </w:r>
          <w:r>
            <w:rPr>
              <w:noProof/>
            </w:rPr>
            <w:t>9</w:t>
          </w:r>
          <w:r>
            <w:rPr>
              <w:noProof/>
            </w:rPr>
            <w:fldChar w:fldCharType="end"/>
          </w:r>
        </w:p>
        <w:p w14:paraId="0A5A0093" w14:textId="63FC4CAC" w:rsidR="00594E76" w:rsidRDefault="00594E76">
          <w:pPr>
            <w:pStyle w:val="TOC3"/>
            <w:rPr>
              <w:rFonts w:eastAsiaTheme="minorEastAsia"/>
              <w:noProof/>
              <w:kern w:val="2"/>
              <w:lang w:val="da-DK" w:eastAsia="da-DK"/>
              <w14:ligatures w14:val="standardContextual"/>
            </w:rPr>
          </w:pPr>
          <w:r>
            <w:rPr>
              <w:noProof/>
            </w:rPr>
            <w:t>3.2.1</w:t>
          </w:r>
          <w:r>
            <w:rPr>
              <w:rFonts w:eastAsiaTheme="minorEastAsia"/>
              <w:noProof/>
              <w:kern w:val="2"/>
              <w:lang w:val="da-DK" w:eastAsia="da-DK"/>
              <w14:ligatures w14:val="standardContextual"/>
            </w:rPr>
            <w:tab/>
          </w:r>
          <w:r>
            <w:rPr>
              <w:noProof/>
            </w:rPr>
            <w:t>Cloud Roles</w:t>
          </w:r>
          <w:r>
            <w:rPr>
              <w:noProof/>
            </w:rPr>
            <w:tab/>
          </w:r>
          <w:r>
            <w:rPr>
              <w:noProof/>
            </w:rPr>
            <w:fldChar w:fldCharType="begin"/>
          </w:r>
          <w:r>
            <w:rPr>
              <w:noProof/>
            </w:rPr>
            <w:instrText xml:space="preserve"> PAGEREF _Toc138311608 \h </w:instrText>
          </w:r>
          <w:r>
            <w:rPr>
              <w:noProof/>
            </w:rPr>
          </w:r>
          <w:r>
            <w:rPr>
              <w:noProof/>
            </w:rPr>
            <w:fldChar w:fldCharType="separate"/>
          </w:r>
          <w:r>
            <w:rPr>
              <w:noProof/>
            </w:rPr>
            <w:t>9</w:t>
          </w:r>
          <w:r>
            <w:rPr>
              <w:noProof/>
            </w:rPr>
            <w:fldChar w:fldCharType="end"/>
          </w:r>
        </w:p>
        <w:p w14:paraId="39D4C059" w14:textId="17951199" w:rsidR="00594E76" w:rsidRDefault="00594E76">
          <w:pPr>
            <w:pStyle w:val="TOC3"/>
            <w:rPr>
              <w:rFonts w:eastAsiaTheme="minorEastAsia"/>
              <w:noProof/>
              <w:kern w:val="2"/>
              <w:lang w:val="da-DK" w:eastAsia="da-DK"/>
              <w14:ligatures w14:val="standardContextual"/>
            </w:rPr>
          </w:pPr>
          <w:r>
            <w:rPr>
              <w:noProof/>
            </w:rPr>
            <w:t>3.2.2</w:t>
          </w:r>
          <w:r>
            <w:rPr>
              <w:rFonts w:eastAsiaTheme="minorEastAsia"/>
              <w:noProof/>
              <w:kern w:val="2"/>
              <w:lang w:val="da-DK" w:eastAsia="da-DK"/>
              <w14:ligatures w14:val="standardContextual"/>
            </w:rPr>
            <w:tab/>
          </w:r>
          <w:r>
            <w:rPr>
              <w:noProof/>
            </w:rPr>
            <w:t>Activities and Examples in the Cloud Supply Chain</w:t>
          </w:r>
          <w:r>
            <w:rPr>
              <w:noProof/>
            </w:rPr>
            <w:tab/>
          </w:r>
          <w:r>
            <w:rPr>
              <w:noProof/>
            </w:rPr>
            <w:fldChar w:fldCharType="begin"/>
          </w:r>
          <w:r>
            <w:rPr>
              <w:noProof/>
            </w:rPr>
            <w:instrText xml:space="preserve"> PAGEREF _Toc138311609 \h </w:instrText>
          </w:r>
          <w:r>
            <w:rPr>
              <w:noProof/>
            </w:rPr>
          </w:r>
          <w:r>
            <w:rPr>
              <w:noProof/>
            </w:rPr>
            <w:fldChar w:fldCharType="separate"/>
          </w:r>
          <w:r>
            <w:rPr>
              <w:noProof/>
            </w:rPr>
            <w:t>10</w:t>
          </w:r>
          <w:r>
            <w:rPr>
              <w:noProof/>
            </w:rPr>
            <w:fldChar w:fldCharType="end"/>
          </w:r>
        </w:p>
        <w:p w14:paraId="31E3F1F8" w14:textId="6FCAE756" w:rsidR="00594E76" w:rsidRDefault="00594E76">
          <w:pPr>
            <w:pStyle w:val="TOC4"/>
            <w:rPr>
              <w:rFonts w:eastAsiaTheme="minorEastAsia"/>
              <w:noProof/>
              <w:kern w:val="2"/>
              <w:lang w:val="da-DK" w:eastAsia="da-DK"/>
              <w14:ligatures w14:val="standardContextual"/>
            </w:rPr>
          </w:pPr>
          <w:r>
            <w:rPr>
              <w:noProof/>
            </w:rPr>
            <w:t>3.2.2.1</w:t>
          </w:r>
          <w:r>
            <w:rPr>
              <w:rFonts w:eastAsiaTheme="minorEastAsia"/>
              <w:noProof/>
              <w:kern w:val="2"/>
              <w:lang w:val="da-DK" w:eastAsia="da-DK"/>
              <w14:ligatures w14:val="standardContextual"/>
            </w:rPr>
            <w:tab/>
          </w:r>
          <w:r>
            <w:rPr>
              <w:noProof/>
            </w:rPr>
            <w:t>Examples of Scenarios</w:t>
          </w:r>
          <w:r>
            <w:rPr>
              <w:noProof/>
            </w:rPr>
            <w:tab/>
          </w:r>
          <w:r>
            <w:rPr>
              <w:noProof/>
            </w:rPr>
            <w:fldChar w:fldCharType="begin"/>
          </w:r>
          <w:r>
            <w:rPr>
              <w:noProof/>
            </w:rPr>
            <w:instrText xml:space="preserve"> PAGEREF _Toc138311610 \h </w:instrText>
          </w:r>
          <w:r>
            <w:rPr>
              <w:noProof/>
            </w:rPr>
          </w:r>
          <w:r>
            <w:rPr>
              <w:noProof/>
            </w:rPr>
            <w:fldChar w:fldCharType="separate"/>
          </w:r>
          <w:r>
            <w:rPr>
              <w:noProof/>
            </w:rPr>
            <w:t>11</w:t>
          </w:r>
          <w:r>
            <w:rPr>
              <w:noProof/>
            </w:rPr>
            <w:fldChar w:fldCharType="end"/>
          </w:r>
        </w:p>
        <w:p w14:paraId="10C6968E" w14:textId="7C24D1D6" w:rsidR="00594E76" w:rsidRDefault="00594E76">
          <w:pPr>
            <w:pStyle w:val="TOC4"/>
            <w:rPr>
              <w:rFonts w:eastAsiaTheme="minorEastAsia"/>
              <w:noProof/>
              <w:kern w:val="2"/>
              <w:lang w:val="da-DK" w:eastAsia="da-DK"/>
              <w14:ligatures w14:val="standardContextual"/>
            </w:rPr>
          </w:pPr>
          <w:r>
            <w:rPr>
              <w:noProof/>
            </w:rPr>
            <w:t>3.2.2.2</w:t>
          </w:r>
          <w:r>
            <w:rPr>
              <w:rFonts w:eastAsiaTheme="minorEastAsia"/>
              <w:noProof/>
              <w:kern w:val="2"/>
              <w:lang w:val="da-DK" w:eastAsia="da-DK"/>
              <w14:ligatures w14:val="standardContextual"/>
            </w:rPr>
            <w:tab/>
          </w:r>
          <w:r>
            <w:rPr>
              <w:noProof/>
            </w:rPr>
            <w:t>Examples by Role</w:t>
          </w:r>
          <w:r>
            <w:rPr>
              <w:noProof/>
            </w:rPr>
            <w:tab/>
          </w:r>
          <w:r>
            <w:rPr>
              <w:noProof/>
            </w:rPr>
            <w:fldChar w:fldCharType="begin"/>
          </w:r>
          <w:r>
            <w:rPr>
              <w:noProof/>
            </w:rPr>
            <w:instrText xml:space="preserve"> PAGEREF _Toc138311611 \h </w:instrText>
          </w:r>
          <w:r>
            <w:rPr>
              <w:noProof/>
            </w:rPr>
          </w:r>
          <w:r>
            <w:rPr>
              <w:noProof/>
            </w:rPr>
            <w:fldChar w:fldCharType="separate"/>
          </w:r>
          <w:r>
            <w:rPr>
              <w:noProof/>
            </w:rPr>
            <w:t>13</w:t>
          </w:r>
          <w:r>
            <w:rPr>
              <w:noProof/>
            </w:rPr>
            <w:fldChar w:fldCharType="end"/>
          </w:r>
        </w:p>
        <w:p w14:paraId="2D8A88CC" w14:textId="6955C511" w:rsidR="00594E76" w:rsidRDefault="00594E76">
          <w:pPr>
            <w:pStyle w:val="TOC1"/>
            <w:rPr>
              <w:rFonts w:eastAsiaTheme="minorEastAsia"/>
              <w:noProof/>
              <w:kern w:val="2"/>
              <w:lang w:val="da-DK" w:eastAsia="da-DK"/>
              <w14:ligatures w14:val="standardContextual"/>
            </w:rPr>
          </w:pPr>
          <w:r>
            <w:rPr>
              <w:noProof/>
            </w:rPr>
            <w:t>4</w:t>
          </w:r>
          <w:r>
            <w:rPr>
              <w:rFonts w:eastAsiaTheme="minorEastAsia"/>
              <w:noProof/>
              <w:kern w:val="2"/>
              <w:lang w:val="da-DK" w:eastAsia="da-DK"/>
              <w14:ligatures w14:val="standardContextual"/>
            </w:rPr>
            <w:tab/>
          </w:r>
          <w:r>
            <w:rPr>
              <w:noProof/>
            </w:rPr>
            <w:t>GxP Considerations for Cloud Service Customers and Cloud Service Brokers</w:t>
          </w:r>
          <w:r>
            <w:rPr>
              <w:noProof/>
            </w:rPr>
            <w:tab/>
          </w:r>
          <w:r>
            <w:rPr>
              <w:noProof/>
            </w:rPr>
            <w:fldChar w:fldCharType="begin"/>
          </w:r>
          <w:r>
            <w:rPr>
              <w:noProof/>
            </w:rPr>
            <w:instrText xml:space="preserve"> PAGEREF _Toc138311612 \h </w:instrText>
          </w:r>
          <w:r>
            <w:rPr>
              <w:noProof/>
            </w:rPr>
          </w:r>
          <w:r>
            <w:rPr>
              <w:noProof/>
            </w:rPr>
            <w:fldChar w:fldCharType="separate"/>
          </w:r>
          <w:r>
            <w:rPr>
              <w:noProof/>
            </w:rPr>
            <w:t>16</w:t>
          </w:r>
          <w:r>
            <w:rPr>
              <w:noProof/>
            </w:rPr>
            <w:fldChar w:fldCharType="end"/>
          </w:r>
        </w:p>
        <w:p w14:paraId="36AED154" w14:textId="1D8E218D" w:rsidR="00594E76" w:rsidRDefault="00594E76">
          <w:pPr>
            <w:pStyle w:val="TOC2"/>
            <w:rPr>
              <w:rFonts w:eastAsiaTheme="minorEastAsia"/>
              <w:noProof/>
              <w:kern w:val="2"/>
              <w:lang w:val="da-DK" w:eastAsia="da-DK"/>
              <w14:ligatures w14:val="standardContextual"/>
            </w:rPr>
          </w:pPr>
          <w:r>
            <w:rPr>
              <w:noProof/>
            </w:rPr>
            <w:t>4.1</w:t>
          </w:r>
          <w:r>
            <w:rPr>
              <w:rFonts w:eastAsiaTheme="minorEastAsia"/>
              <w:noProof/>
              <w:kern w:val="2"/>
              <w:lang w:val="da-DK" w:eastAsia="da-DK"/>
              <w14:ligatures w14:val="standardContextual"/>
            </w:rPr>
            <w:tab/>
          </w:r>
          <w:r>
            <w:rPr>
              <w:noProof/>
            </w:rPr>
            <w:t>SDLC Policy - Cloud Specific Guidance</w:t>
          </w:r>
          <w:r>
            <w:rPr>
              <w:noProof/>
            </w:rPr>
            <w:tab/>
          </w:r>
          <w:r>
            <w:rPr>
              <w:noProof/>
            </w:rPr>
            <w:fldChar w:fldCharType="begin"/>
          </w:r>
          <w:r>
            <w:rPr>
              <w:noProof/>
            </w:rPr>
            <w:instrText xml:space="preserve"> PAGEREF _Toc138311613 \h </w:instrText>
          </w:r>
          <w:r>
            <w:rPr>
              <w:noProof/>
            </w:rPr>
          </w:r>
          <w:r>
            <w:rPr>
              <w:noProof/>
            </w:rPr>
            <w:fldChar w:fldCharType="separate"/>
          </w:r>
          <w:r>
            <w:rPr>
              <w:noProof/>
            </w:rPr>
            <w:t>18</w:t>
          </w:r>
          <w:r>
            <w:rPr>
              <w:noProof/>
            </w:rPr>
            <w:fldChar w:fldCharType="end"/>
          </w:r>
        </w:p>
        <w:p w14:paraId="6BA14779" w14:textId="0AA9A51C" w:rsidR="00594E76" w:rsidRDefault="00594E76">
          <w:pPr>
            <w:pStyle w:val="TOC3"/>
            <w:rPr>
              <w:rFonts w:eastAsiaTheme="minorEastAsia"/>
              <w:noProof/>
              <w:kern w:val="2"/>
              <w:lang w:val="da-DK" w:eastAsia="da-DK"/>
              <w14:ligatures w14:val="standardContextual"/>
            </w:rPr>
          </w:pPr>
          <w:r>
            <w:rPr>
              <w:noProof/>
            </w:rPr>
            <w:t>4.1.1</w:t>
          </w:r>
          <w:r>
            <w:rPr>
              <w:rFonts w:eastAsiaTheme="minorEastAsia"/>
              <w:noProof/>
              <w:kern w:val="2"/>
              <w:lang w:val="da-DK" w:eastAsia="da-DK"/>
              <w14:ligatures w14:val="standardContextual"/>
            </w:rPr>
            <w:tab/>
          </w:r>
          <w:r>
            <w:rPr>
              <w:noProof/>
            </w:rPr>
            <w:t>Supplier Management Policies</w:t>
          </w:r>
          <w:r>
            <w:rPr>
              <w:noProof/>
            </w:rPr>
            <w:tab/>
          </w:r>
          <w:r>
            <w:rPr>
              <w:noProof/>
            </w:rPr>
            <w:fldChar w:fldCharType="begin"/>
          </w:r>
          <w:r>
            <w:rPr>
              <w:noProof/>
            </w:rPr>
            <w:instrText xml:space="preserve"> PAGEREF _Toc138311614 \h </w:instrText>
          </w:r>
          <w:r>
            <w:rPr>
              <w:noProof/>
            </w:rPr>
          </w:r>
          <w:r>
            <w:rPr>
              <w:noProof/>
            </w:rPr>
            <w:fldChar w:fldCharType="separate"/>
          </w:r>
          <w:r>
            <w:rPr>
              <w:noProof/>
            </w:rPr>
            <w:t>20</w:t>
          </w:r>
          <w:r>
            <w:rPr>
              <w:noProof/>
            </w:rPr>
            <w:fldChar w:fldCharType="end"/>
          </w:r>
        </w:p>
        <w:p w14:paraId="253FE37F" w14:textId="3C7BB009" w:rsidR="00594E76" w:rsidRDefault="00594E76">
          <w:pPr>
            <w:pStyle w:val="TOC4"/>
            <w:rPr>
              <w:rFonts w:eastAsiaTheme="minorEastAsia"/>
              <w:noProof/>
              <w:kern w:val="2"/>
              <w:lang w:val="da-DK" w:eastAsia="da-DK"/>
              <w14:ligatures w14:val="standardContextual"/>
            </w:rPr>
          </w:pPr>
          <w:r>
            <w:rPr>
              <w:noProof/>
            </w:rPr>
            <w:t>4.1.1.1</w:t>
          </w:r>
          <w:r>
            <w:rPr>
              <w:rFonts w:eastAsiaTheme="minorEastAsia"/>
              <w:noProof/>
              <w:kern w:val="2"/>
              <w:lang w:val="da-DK" w:eastAsia="da-DK"/>
              <w14:ligatures w14:val="standardContextual"/>
            </w:rPr>
            <w:tab/>
          </w:r>
          <w:r>
            <w:rPr>
              <w:noProof/>
            </w:rPr>
            <w:t>Quality Agreement Considerations</w:t>
          </w:r>
          <w:r>
            <w:rPr>
              <w:noProof/>
            </w:rPr>
            <w:tab/>
          </w:r>
          <w:r>
            <w:rPr>
              <w:noProof/>
            </w:rPr>
            <w:fldChar w:fldCharType="begin"/>
          </w:r>
          <w:r>
            <w:rPr>
              <w:noProof/>
            </w:rPr>
            <w:instrText xml:space="preserve"> PAGEREF _Toc138311615 \h </w:instrText>
          </w:r>
          <w:r>
            <w:rPr>
              <w:noProof/>
            </w:rPr>
          </w:r>
          <w:r>
            <w:rPr>
              <w:noProof/>
            </w:rPr>
            <w:fldChar w:fldCharType="separate"/>
          </w:r>
          <w:r>
            <w:rPr>
              <w:noProof/>
            </w:rPr>
            <w:t>23</w:t>
          </w:r>
          <w:r>
            <w:rPr>
              <w:noProof/>
            </w:rPr>
            <w:fldChar w:fldCharType="end"/>
          </w:r>
        </w:p>
        <w:p w14:paraId="1F074067" w14:textId="2B8FB4F3" w:rsidR="00594E76" w:rsidRDefault="00594E76">
          <w:pPr>
            <w:pStyle w:val="TOC3"/>
            <w:rPr>
              <w:rFonts w:eastAsiaTheme="minorEastAsia"/>
              <w:noProof/>
              <w:kern w:val="2"/>
              <w:lang w:val="da-DK" w:eastAsia="da-DK"/>
              <w14:ligatures w14:val="standardContextual"/>
            </w:rPr>
          </w:pPr>
          <w:r>
            <w:rPr>
              <w:noProof/>
            </w:rPr>
            <w:t>4.1.2</w:t>
          </w:r>
          <w:r>
            <w:rPr>
              <w:rFonts w:eastAsiaTheme="minorEastAsia"/>
              <w:noProof/>
              <w:kern w:val="2"/>
              <w:lang w:val="da-DK" w:eastAsia="da-DK"/>
              <w14:ligatures w14:val="standardContextual"/>
            </w:rPr>
            <w:tab/>
          </w:r>
          <w:r>
            <w:rPr>
              <w:noProof/>
            </w:rPr>
            <w:t>Information Risk Management, Privacy and Data Protection Policies</w:t>
          </w:r>
          <w:r>
            <w:rPr>
              <w:noProof/>
            </w:rPr>
            <w:tab/>
          </w:r>
          <w:r>
            <w:rPr>
              <w:noProof/>
            </w:rPr>
            <w:fldChar w:fldCharType="begin"/>
          </w:r>
          <w:r>
            <w:rPr>
              <w:noProof/>
            </w:rPr>
            <w:instrText xml:space="preserve"> PAGEREF _Toc138311616 \h </w:instrText>
          </w:r>
          <w:r>
            <w:rPr>
              <w:noProof/>
            </w:rPr>
          </w:r>
          <w:r>
            <w:rPr>
              <w:noProof/>
            </w:rPr>
            <w:fldChar w:fldCharType="separate"/>
          </w:r>
          <w:r>
            <w:rPr>
              <w:noProof/>
            </w:rPr>
            <w:t>25</w:t>
          </w:r>
          <w:r>
            <w:rPr>
              <w:noProof/>
            </w:rPr>
            <w:fldChar w:fldCharType="end"/>
          </w:r>
        </w:p>
        <w:p w14:paraId="743E6AE8" w14:textId="0005F4D8" w:rsidR="00594E76" w:rsidRDefault="00594E76">
          <w:pPr>
            <w:pStyle w:val="TOC3"/>
            <w:rPr>
              <w:rFonts w:eastAsiaTheme="minorEastAsia"/>
              <w:noProof/>
              <w:kern w:val="2"/>
              <w:lang w:val="da-DK" w:eastAsia="da-DK"/>
              <w14:ligatures w14:val="standardContextual"/>
            </w:rPr>
          </w:pPr>
          <w:r>
            <w:rPr>
              <w:noProof/>
            </w:rPr>
            <w:t>4.1.3</w:t>
          </w:r>
          <w:r>
            <w:rPr>
              <w:rFonts w:eastAsiaTheme="minorEastAsia"/>
              <w:noProof/>
              <w:kern w:val="2"/>
              <w:lang w:val="da-DK" w:eastAsia="da-DK"/>
              <w14:ligatures w14:val="standardContextual"/>
            </w:rPr>
            <w:tab/>
          </w:r>
          <w:r>
            <w:rPr>
              <w:noProof/>
            </w:rPr>
            <w:t>Cyber Security</w:t>
          </w:r>
          <w:r>
            <w:rPr>
              <w:noProof/>
            </w:rPr>
            <w:tab/>
          </w:r>
          <w:r>
            <w:rPr>
              <w:noProof/>
            </w:rPr>
            <w:fldChar w:fldCharType="begin"/>
          </w:r>
          <w:r>
            <w:rPr>
              <w:noProof/>
            </w:rPr>
            <w:instrText xml:space="preserve"> PAGEREF _Toc138311617 \h </w:instrText>
          </w:r>
          <w:r>
            <w:rPr>
              <w:noProof/>
            </w:rPr>
          </w:r>
          <w:r>
            <w:rPr>
              <w:noProof/>
            </w:rPr>
            <w:fldChar w:fldCharType="separate"/>
          </w:r>
          <w:r>
            <w:rPr>
              <w:noProof/>
            </w:rPr>
            <w:t>27</w:t>
          </w:r>
          <w:r>
            <w:rPr>
              <w:noProof/>
            </w:rPr>
            <w:fldChar w:fldCharType="end"/>
          </w:r>
        </w:p>
        <w:p w14:paraId="19984F07" w14:textId="7CA5A6DE" w:rsidR="00594E76" w:rsidRDefault="00594E76">
          <w:pPr>
            <w:pStyle w:val="TOC2"/>
            <w:rPr>
              <w:rFonts w:eastAsiaTheme="minorEastAsia"/>
              <w:noProof/>
              <w:kern w:val="2"/>
              <w:lang w:val="da-DK" w:eastAsia="da-DK"/>
              <w14:ligatures w14:val="standardContextual"/>
            </w:rPr>
          </w:pPr>
          <w:r>
            <w:rPr>
              <w:noProof/>
            </w:rPr>
            <w:t>4.2</w:t>
          </w:r>
          <w:r>
            <w:rPr>
              <w:rFonts w:eastAsiaTheme="minorEastAsia"/>
              <w:noProof/>
              <w:kern w:val="2"/>
              <w:lang w:val="da-DK" w:eastAsia="da-DK"/>
              <w14:ligatures w14:val="standardContextual"/>
            </w:rPr>
            <w:tab/>
          </w:r>
          <w:r>
            <w:rPr>
              <w:noProof/>
            </w:rPr>
            <w:t>Continuous Delivery and Continuous Validation</w:t>
          </w:r>
          <w:r>
            <w:rPr>
              <w:noProof/>
            </w:rPr>
            <w:tab/>
          </w:r>
          <w:r>
            <w:rPr>
              <w:noProof/>
            </w:rPr>
            <w:fldChar w:fldCharType="begin"/>
          </w:r>
          <w:r>
            <w:rPr>
              <w:noProof/>
            </w:rPr>
            <w:instrText xml:space="preserve"> PAGEREF _Toc138311618 \h </w:instrText>
          </w:r>
          <w:r>
            <w:rPr>
              <w:noProof/>
            </w:rPr>
          </w:r>
          <w:r>
            <w:rPr>
              <w:noProof/>
            </w:rPr>
            <w:fldChar w:fldCharType="separate"/>
          </w:r>
          <w:r>
            <w:rPr>
              <w:noProof/>
            </w:rPr>
            <w:t>30</w:t>
          </w:r>
          <w:r>
            <w:rPr>
              <w:noProof/>
            </w:rPr>
            <w:fldChar w:fldCharType="end"/>
          </w:r>
        </w:p>
        <w:p w14:paraId="031C860E" w14:textId="7299EA25" w:rsidR="00594E76" w:rsidRDefault="00594E76">
          <w:pPr>
            <w:pStyle w:val="TOC3"/>
            <w:rPr>
              <w:rFonts w:eastAsiaTheme="minorEastAsia"/>
              <w:noProof/>
              <w:kern w:val="2"/>
              <w:lang w:val="da-DK" w:eastAsia="da-DK"/>
              <w14:ligatures w14:val="standardContextual"/>
            </w:rPr>
          </w:pPr>
          <w:r>
            <w:rPr>
              <w:noProof/>
            </w:rPr>
            <w:t>4.2.1</w:t>
          </w:r>
          <w:r>
            <w:rPr>
              <w:rFonts w:eastAsiaTheme="minorEastAsia"/>
              <w:noProof/>
              <w:kern w:val="2"/>
              <w:lang w:val="da-DK" w:eastAsia="da-DK"/>
              <w14:ligatures w14:val="standardContextual"/>
            </w:rPr>
            <w:tab/>
          </w:r>
          <w:r>
            <w:rPr>
              <w:noProof/>
            </w:rPr>
            <w:t>The Challenge</w:t>
          </w:r>
          <w:r>
            <w:rPr>
              <w:noProof/>
            </w:rPr>
            <w:tab/>
          </w:r>
          <w:r>
            <w:rPr>
              <w:noProof/>
            </w:rPr>
            <w:fldChar w:fldCharType="begin"/>
          </w:r>
          <w:r>
            <w:rPr>
              <w:noProof/>
            </w:rPr>
            <w:instrText xml:space="preserve"> PAGEREF _Toc138311619 \h </w:instrText>
          </w:r>
          <w:r>
            <w:rPr>
              <w:noProof/>
            </w:rPr>
          </w:r>
          <w:r>
            <w:rPr>
              <w:noProof/>
            </w:rPr>
            <w:fldChar w:fldCharType="separate"/>
          </w:r>
          <w:r>
            <w:rPr>
              <w:noProof/>
            </w:rPr>
            <w:t>31</w:t>
          </w:r>
          <w:r>
            <w:rPr>
              <w:noProof/>
            </w:rPr>
            <w:fldChar w:fldCharType="end"/>
          </w:r>
        </w:p>
        <w:p w14:paraId="784F77A3" w14:textId="1609CE73" w:rsidR="00594E76" w:rsidRDefault="00594E76">
          <w:pPr>
            <w:pStyle w:val="TOC3"/>
            <w:rPr>
              <w:rFonts w:eastAsiaTheme="minorEastAsia"/>
              <w:noProof/>
              <w:kern w:val="2"/>
              <w:lang w:val="da-DK" w:eastAsia="da-DK"/>
              <w14:ligatures w14:val="standardContextual"/>
            </w:rPr>
          </w:pPr>
          <w:r>
            <w:rPr>
              <w:noProof/>
            </w:rPr>
            <w:t>4.2.2</w:t>
          </w:r>
          <w:r>
            <w:rPr>
              <w:rFonts w:eastAsiaTheme="minorEastAsia"/>
              <w:noProof/>
              <w:kern w:val="2"/>
              <w:lang w:val="da-DK" w:eastAsia="da-DK"/>
              <w14:ligatures w14:val="standardContextual"/>
            </w:rPr>
            <w:tab/>
          </w:r>
          <w:r>
            <w:rPr>
              <w:noProof/>
            </w:rPr>
            <w:t>The Approach</w:t>
          </w:r>
          <w:r>
            <w:rPr>
              <w:noProof/>
            </w:rPr>
            <w:tab/>
          </w:r>
          <w:r>
            <w:rPr>
              <w:noProof/>
            </w:rPr>
            <w:fldChar w:fldCharType="begin"/>
          </w:r>
          <w:r>
            <w:rPr>
              <w:noProof/>
            </w:rPr>
            <w:instrText xml:space="preserve"> PAGEREF _Toc138311620 \h </w:instrText>
          </w:r>
          <w:r>
            <w:rPr>
              <w:noProof/>
            </w:rPr>
          </w:r>
          <w:r>
            <w:rPr>
              <w:noProof/>
            </w:rPr>
            <w:fldChar w:fldCharType="separate"/>
          </w:r>
          <w:r>
            <w:rPr>
              <w:noProof/>
            </w:rPr>
            <w:t>31</w:t>
          </w:r>
          <w:r>
            <w:rPr>
              <w:noProof/>
            </w:rPr>
            <w:fldChar w:fldCharType="end"/>
          </w:r>
        </w:p>
        <w:p w14:paraId="1BAD9D08" w14:textId="2FDC1864" w:rsidR="00594E76" w:rsidRDefault="00594E76">
          <w:pPr>
            <w:pStyle w:val="TOC3"/>
            <w:rPr>
              <w:rFonts w:eastAsiaTheme="minorEastAsia"/>
              <w:noProof/>
              <w:kern w:val="2"/>
              <w:lang w:val="da-DK" w:eastAsia="da-DK"/>
              <w14:ligatures w14:val="standardContextual"/>
            </w:rPr>
          </w:pPr>
          <w:r>
            <w:rPr>
              <w:noProof/>
            </w:rPr>
            <w:t>4.2.3</w:t>
          </w:r>
          <w:r>
            <w:rPr>
              <w:rFonts w:eastAsiaTheme="minorEastAsia"/>
              <w:noProof/>
              <w:kern w:val="2"/>
              <w:lang w:val="da-DK" w:eastAsia="da-DK"/>
              <w14:ligatures w14:val="standardContextual"/>
            </w:rPr>
            <w:tab/>
          </w:r>
          <w:r>
            <w:rPr>
              <w:noProof/>
            </w:rPr>
            <w:t>DevOps</w:t>
          </w:r>
          <w:r>
            <w:rPr>
              <w:noProof/>
            </w:rPr>
            <w:tab/>
          </w:r>
          <w:r>
            <w:rPr>
              <w:noProof/>
            </w:rPr>
            <w:fldChar w:fldCharType="begin"/>
          </w:r>
          <w:r>
            <w:rPr>
              <w:noProof/>
            </w:rPr>
            <w:instrText xml:space="preserve"> PAGEREF _Toc138311621 \h </w:instrText>
          </w:r>
          <w:r>
            <w:rPr>
              <w:noProof/>
            </w:rPr>
          </w:r>
          <w:r>
            <w:rPr>
              <w:noProof/>
            </w:rPr>
            <w:fldChar w:fldCharType="separate"/>
          </w:r>
          <w:r>
            <w:rPr>
              <w:noProof/>
            </w:rPr>
            <w:t>32</w:t>
          </w:r>
          <w:r>
            <w:rPr>
              <w:noProof/>
            </w:rPr>
            <w:fldChar w:fldCharType="end"/>
          </w:r>
        </w:p>
        <w:p w14:paraId="6E6E0D33" w14:textId="1323DEEC" w:rsidR="00594E76" w:rsidRDefault="00594E76">
          <w:pPr>
            <w:pStyle w:val="TOC4"/>
            <w:rPr>
              <w:rFonts w:eastAsiaTheme="minorEastAsia"/>
              <w:noProof/>
              <w:kern w:val="2"/>
              <w:lang w:val="da-DK" w:eastAsia="da-DK"/>
              <w14:ligatures w14:val="standardContextual"/>
            </w:rPr>
          </w:pPr>
          <w:r>
            <w:rPr>
              <w:noProof/>
            </w:rPr>
            <w:t>4.2.3.1</w:t>
          </w:r>
          <w:r>
            <w:rPr>
              <w:rFonts w:eastAsiaTheme="minorEastAsia"/>
              <w:noProof/>
              <w:kern w:val="2"/>
              <w:lang w:val="da-DK" w:eastAsia="da-DK"/>
              <w14:ligatures w14:val="standardContextual"/>
            </w:rPr>
            <w:tab/>
          </w:r>
          <w:r>
            <w:rPr>
              <w:noProof/>
            </w:rPr>
            <w:t>Configuration Management</w:t>
          </w:r>
          <w:r>
            <w:rPr>
              <w:noProof/>
            </w:rPr>
            <w:tab/>
          </w:r>
          <w:r>
            <w:rPr>
              <w:noProof/>
            </w:rPr>
            <w:fldChar w:fldCharType="begin"/>
          </w:r>
          <w:r>
            <w:rPr>
              <w:noProof/>
            </w:rPr>
            <w:instrText xml:space="preserve"> PAGEREF _Toc138311622 \h </w:instrText>
          </w:r>
          <w:r>
            <w:rPr>
              <w:noProof/>
            </w:rPr>
          </w:r>
          <w:r>
            <w:rPr>
              <w:noProof/>
            </w:rPr>
            <w:fldChar w:fldCharType="separate"/>
          </w:r>
          <w:r>
            <w:rPr>
              <w:noProof/>
            </w:rPr>
            <w:t>33</w:t>
          </w:r>
          <w:r>
            <w:rPr>
              <w:noProof/>
            </w:rPr>
            <w:fldChar w:fldCharType="end"/>
          </w:r>
        </w:p>
        <w:p w14:paraId="0EFD60CE" w14:textId="6B6A07B7" w:rsidR="00594E76" w:rsidRDefault="00594E76">
          <w:pPr>
            <w:pStyle w:val="TOC4"/>
            <w:rPr>
              <w:rFonts w:eastAsiaTheme="minorEastAsia"/>
              <w:noProof/>
              <w:kern w:val="2"/>
              <w:lang w:val="da-DK" w:eastAsia="da-DK"/>
              <w14:ligatures w14:val="standardContextual"/>
            </w:rPr>
          </w:pPr>
          <w:r>
            <w:rPr>
              <w:noProof/>
            </w:rPr>
            <w:t>4.2.3.2</w:t>
          </w:r>
          <w:r>
            <w:rPr>
              <w:rFonts w:eastAsiaTheme="minorEastAsia"/>
              <w:noProof/>
              <w:kern w:val="2"/>
              <w:lang w:val="da-DK" w:eastAsia="da-DK"/>
              <w14:ligatures w14:val="standardContextual"/>
            </w:rPr>
            <w:tab/>
          </w:r>
          <w:r>
            <w:rPr>
              <w:noProof/>
            </w:rPr>
            <w:t>Change Management</w:t>
          </w:r>
          <w:r>
            <w:rPr>
              <w:noProof/>
            </w:rPr>
            <w:tab/>
          </w:r>
          <w:r>
            <w:rPr>
              <w:noProof/>
            </w:rPr>
            <w:fldChar w:fldCharType="begin"/>
          </w:r>
          <w:r>
            <w:rPr>
              <w:noProof/>
            </w:rPr>
            <w:instrText xml:space="preserve"> PAGEREF _Toc138311623 \h </w:instrText>
          </w:r>
          <w:r>
            <w:rPr>
              <w:noProof/>
            </w:rPr>
          </w:r>
          <w:r>
            <w:rPr>
              <w:noProof/>
            </w:rPr>
            <w:fldChar w:fldCharType="separate"/>
          </w:r>
          <w:r>
            <w:rPr>
              <w:noProof/>
            </w:rPr>
            <w:t>34</w:t>
          </w:r>
          <w:r>
            <w:rPr>
              <w:noProof/>
            </w:rPr>
            <w:fldChar w:fldCharType="end"/>
          </w:r>
        </w:p>
        <w:p w14:paraId="29777B4E" w14:textId="422D5C68" w:rsidR="00594E76" w:rsidRDefault="00594E76">
          <w:pPr>
            <w:pStyle w:val="TOC1"/>
            <w:rPr>
              <w:rFonts w:eastAsiaTheme="minorEastAsia"/>
              <w:noProof/>
              <w:kern w:val="2"/>
              <w:lang w:val="da-DK" w:eastAsia="da-DK"/>
              <w14:ligatures w14:val="standardContextual"/>
            </w:rPr>
          </w:pPr>
          <w:r>
            <w:rPr>
              <w:noProof/>
            </w:rPr>
            <w:t>5</w:t>
          </w:r>
          <w:r>
            <w:rPr>
              <w:rFonts w:eastAsiaTheme="minorEastAsia"/>
              <w:noProof/>
              <w:kern w:val="2"/>
              <w:lang w:val="da-DK" w:eastAsia="da-DK"/>
              <w14:ligatures w14:val="standardContextual"/>
            </w:rPr>
            <w:tab/>
          </w:r>
          <w:r>
            <w:rPr>
              <w:noProof/>
            </w:rPr>
            <w:t>Glossary</w:t>
          </w:r>
          <w:r>
            <w:rPr>
              <w:noProof/>
            </w:rPr>
            <w:tab/>
          </w:r>
          <w:r>
            <w:rPr>
              <w:noProof/>
            </w:rPr>
            <w:fldChar w:fldCharType="begin"/>
          </w:r>
          <w:r>
            <w:rPr>
              <w:noProof/>
            </w:rPr>
            <w:instrText xml:space="preserve"> PAGEREF _Toc138311624 \h </w:instrText>
          </w:r>
          <w:r>
            <w:rPr>
              <w:noProof/>
            </w:rPr>
          </w:r>
          <w:r>
            <w:rPr>
              <w:noProof/>
            </w:rPr>
            <w:fldChar w:fldCharType="separate"/>
          </w:r>
          <w:r>
            <w:rPr>
              <w:noProof/>
            </w:rPr>
            <w:t>35</w:t>
          </w:r>
          <w:r>
            <w:rPr>
              <w:noProof/>
            </w:rPr>
            <w:fldChar w:fldCharType="end"/>
          </w:r>
        </w:p>
        <w:p w14:paraId="67C22937" w14:textId="2E1D4F61" w:rsidR="00594E76" w:rsidRDefault="00594E76">
          <w:pPr>
            <w:pStyle w:val="TOC1"/>
            <w:rPr>
              <w:rFonts w:eastAsiaTheme="minorEastAsia"/>
              <w:noProof/>
              <w:kern w:val="2"/>
              <w:lang w:val="da-DK" w:eastAsia="da-DK"/>
              <w14:ligatures w14:val="standardContextual"/>
            </w:rPr>
          </w:pPr>
          <w:r>
            <w:rPr>
              <w:noProof/>
            </w:rPr>
            <w:t>6</w:t>
          </w:r>
          <w:r>
            <w:rPr>
              <w:rFonts w:eastAsiaTheme="minorEastAsia"/>
              <w:noProof/>
              <w:kern w:val="2"/>
              <w:lang w:val="da-DK" w:eastAsia="da-DK"/>
              <w14:ligatures w14:val="standardContextual"/>
            </w:rPr>
            <w:tab/>
          </w:r>
          <w:r>
            <w:rPr>
              <w:noProof/>
            </w:rPr>
            <w:t>References</w:t>
          </w:r>
          <w:r>
            <w:rPr>
              <w:noProof/>
            </w:rPr>
            <w:tab/>
          </w:r>
          <w:r>
            <w:rPr>
              <w:noProof/>
            </w:rPr>
            <w:fldChar w:fldCharType="begin"/>
          </w:r>
          <w:r>
            <w:rPr>
              <w:noProof/>
            </w:rPr>
            <w:instrText xml:space="preserve"> PAGEREF _Toc138311625 \h </w:instrText>
          </w:r>
          <w:r>
            <w:rPr>
              <w:noProof/>
            </w:rPr>
          </w:r>
          <w:r>
            <w:rPr>
              <w:noProof/>
            </w:rPr>
            <w:fldChar w:fldCharType="separate"/>
          </w:r>
          <w:r>
            <w:rPr>
              <w:noProof/>
            </w:rPr>
            <w:t>39</w:t>
          </w:r>
          <w:r>
            <w:rPr>
              <w:noProof/>
            </w:rPr>
            <w:fldChar w:fldCharType="end"/>
          </w:r>
        </w:p>
        <w:p w14:paraId="381CA866" w14:textId="1EB40091" w:rsidR="00EA6005" w:rsidRDefault="0080580B">
          <w:r>
            <w:fldChar w:fldCharType="end"/>
          </w:r>
        </w:p>
      </w:sdtContent>
    </w:sdt>
    <w:p w14:paraId="3E751F6E" w14:textId="77777777" w:rsidR="00EA6005" w:rsidRDefault="00EA6005">
      <w:r>
        <w:br w:type="page"/>
      </w:r>
    </w:p>
    <w:p w14:paraId="2E4398A7" w14:textId="77777777" w:rsidR="00A10676" w:rsidRDefault="00A10676" w:rsidP="006920E6">
      <w:pPr>
        <w:pStyle w:val="Heading1"/>
      </w:pPr>
      <w:bookmarkStart w:id="0" w:name="_Toc272518900"/>
      <w:bookmarkStart w:id="1" w:name="_Toc138311598"/>
      <w:r>
        <w:t>Executive Summary</w:t>
      </w:r>
      <w:bookmarkEnd w:id="0"/>
      <w:bookmarkEnd w:id="1"/>
    </w:p>
    <w:p w14:paraId="72440267" w14:textId="77777777" w:rsidR="00415711" w:rsidRDefault="00415711" w:rsidP="002543FE">
      <w:pPr>
        <w:jc w:val="both"/>
      </w:pPr>
      <w:r>
        <w:t xml:space="preserve">In adopting cloud-based solutions for </w:t>
      </w:r>
      <w:proofErr w:type="spellStart"/>
      <w:r>
        <w:t>GxP</w:t>
      </w:r>
      <w:proofErr w:type="spellEnd"/>
      <w:r>
        <w:t xml:space="preserve"> workloads, understanding the essential characteristics of cloud services and solutions is important for determining the applicability of </w:t>
      </w:r>
      <w:proofErr w:type="spellStart"/>
      <w:r>
        <w:t>GxP</w:t>
      </w:r>
      <w:proofErr w:type="spellEnd"/>
      <w:r>
        <w:t xml:space="preserve"> requirements to specific </w:t>
      </w:r>
      <w:r w:rsidR="002543FE">
        <w:t>Cloud Service Providers and/</w:t>
      </w:r>
      <w:r>
        <w:t xml:space="preserve">or cloud-based solution models. </w:t>
      </w:r>
    </w:p>
    <w:p w14:paraId="361D0B0D" w14:textId="46264CB8" w:rsidR="00415711" w:rsidRDefault="00415711" w:rsidP="00E447DE">
      <w:pPr>
        <w:jc w:val="both"/>
      </w:pPr>
      <w:r>
        <w:t xml:space="preserve">At a </w:t>
      </w:r>
      <w:r w:rsidR="002543FE">
        <w:t>superficial</w:t>
      </w:r>
      <w:r>
        <w:t xml:space="preserve"> level, this </w:t>
      </w:r>
      <w:r w:rsidR="004D66F9">
        <w:t>framework</w:t>
      </w:r>
      <w:r w:rsidR="002F7F5A">
        <w:t xml:space="preserve"> describes Cloud Service m</w:t>
      </w:r>
      <w:r>
        <w:t>odels and thei</w:t>
      </w:r>
      <w:r w:rsidR="00632764">
        <w:t>r relationships to “traditional</w:t>
      </w:r>
      <w:r>
        <w:t xml:space="preserve"> </w:t>
      </w:r>
      <w:proofErr w:type="spellStart"/>
      <w:r>
        <w:t>GxP</w:t>
      </w:r>
      <w:proofErr w:type="spellEnd"/>
      <w:r>
        <w:t xml:space="preserve"> Computerized Systems</w:t>
      </w:r>
      <w:r w:rsidR="00632764">
        <w:t>”</w:t>
      </w:r>
      <w:r>
        <w:t>.</w:t>
      </w:r>
    </w:p>
    <w:p w14:paraId="133DBF47" w14:textId="77777777" w:rsidR="00415711" w:rsidRDefault="00415711" w:rsidP="002543FE">
      <w:pPr>
        <w:jc w:val="both"/>
      </w:pPr>
      <w:r w:rsidRPr="00476EF9">
        <w:t xml:space="preserve">When adopting cloud services for </w:t>
      </w:r>
      <w:proofErr w:type="spellStart"/>
      <w:r w:rsidRPr="00476EF9">
        <w:t>GxP</w:t>
      </w:r>
      <w:proofErr w:type="spellEnd"/>
      <w:r w:rsidRPr="00476EF9">
        <w:t xml:space="preserve"> uses, </w:t>
      </w:r>
      <w:r w:rsidR="002543FE">
        <w:t>Cloud Service Customers</w:t>
      </w:r>
      <w:r w:rsidRPr="00476EF9">
        <w:t xml:space="preserve">, </w:t>
      </w:r>
      <w:r w:rsidR="002543FE">
        <w:t>Cloud Service Brokers</w:t>
      </w:r>
      <w:r w:rsidRPr="00476EF9">
        <w:t xml:space="preserve"> and </w:t>
      </w:r>
      <w:r w:rsidR="002543FE">
        <w:t>Cloud Service Providers</w:t>
      </w:r>
      <w:r w:rsidRPr="00476EF9">
        <w:t xml:space="preserve"> should review and evaluate three major control areas within their organization (but</w:t>
      </w:r>
      <w:r>
        <w:t xml:space="preserve"> not limited to):</w:t>
      </w:r>
    </w:p>
    <w:p w14:paraId="42DFBA32" w14:textId="77777777" w:rsidR="00415711" w:rsidRDefault="00415711" w:rsidP="00670620">
      <w:pPr>
        <w:pStyle w:val="ListParagraph"/>
        <w:numPr>
          <w:ilvl w:val="0"/>
          <w:numId w:val="9"/>
        </w:numPr>
        <w:jc w:val="both"/>
      </w:pPr>
      <w:r>
        <w:t>Organization policies and standards</w:t>
      </w:r>
    </w:p>
    <w:p w14:paraId="1BF6DADF" w14:textId="77777777" w:rsidR="00415711" w:rsidRDefault="00415711" w:rsidP="00670620">
      <w:pPr>
        <w:pStyle w:val="ListParagraph"/>
        <w:numPr>
          <w:ilvl w:val="0"/>
          <w:numId w:val="9"/>
        </w:numPr>
        <w:jc w:val="both"/>
      </w:pPr>
      <w:r>
        <w:t>System-level controls</w:t>
      </w:r>
    </w:p>
    <w:p w14:paraId="68375428" w14:textId="1DE2AAA3" w:rsidR="00415711" w:rsidRDefault="00415711" w:rsidP="00670620">
      <w:pPr>
        <w:pStyle w:val="ListParagraph"/>
        <w:numPr>
          <w:ilvl w:val="0"/>
          <w:numId w:val="9"/>
        </w:numPr>
        <w:jc w:val="both"/>
      </w:pPr>
      <w:r>
        <w:t>Supplier</w:t>
      </w:r>
      <w:r w:rsidR="00893A9D">
        <w:t xml:space="preserve"> and Vendor</w:t>
      </w:r>
      <w:r>
        <w:t xml:space="preserve"> </w:t>
      </w:r>
      <w:r w:rsidR="00893A9D">
        <w:t>Management</w:t>
      </w:r>
      <w:r w:rsidR="002543FE">
        <w:t>.</w:t>
      </w:r>
    </w:p>
    <w:p w14:paraId="2DA476BF" w14:textId="29B094E5" w:rsidR="00415711" w:rsidRDefault="00046A13" w:rsidP="002543FE">
      <w:pPr>
        <w:jc w:val="both"/>
      </w:pPr>
      <w:r w:rsidRPr="00600757">
        <w:t xml:space="preserve">Since the original </w:t>
      </w:r>
      <w:r w:rsidR="003C4542" w:rsidRPr="00600757">
        <w:t xml:space="preserve">publication of this framework, adoption of the public cloud by Life Sciences has become necessary, and no longer the exception. </w:t>
      </w:r>
      <w:r w:rsidR="007E51F2" w:rsidRPr="00600757">
        <w:t xml:space="preserve">As part of this foreseeable evolution, there has been a significant rise in the construction of hybrid and/or multi-cloud systems. One of the drivers of this transformation is the rapid rise of Intelligent </w:t>
      </w:r>
      <w:r w:rsidR="00EE04D3" w:rsidRPr="00600757">
        <w:t xml:space="preserve">Automation driving a) leverage of cloud services enabling ML/AI development and b) the need to ingest data from multiple data sources for model development. With that said, </w:t>
      </w:r>
      <w:r w:rsidR="00415711" w:rsidRPr="00600757">
        <w:t xml:space="preserve">Cloud services leverage many existing technologies and, consequently, there are many ways in which the development and validation of </w:t>
      </w:r>
      <w:proofErr w:type="spellStart"/>
      <w:r w:rsidR="00415711" w:rsidRPr="00600757">
        <w:t>GxP</w:t>
      </w:r>
      <w:proofErr w:type="spellEnd"/>
      <w:r w:rsidR="00415711" w:rsidRPr="00600757">
        <w:t xml:space="preserve"> computerized systems built with cloud services may be achieved.</w:t>
      </w:r>
      <w:r w:rsidR="00415711">
        <w:t xml:space="preserve">  </w:t>
      </w:r>
    </w:p>
    <w:p w14:paraId="196C4CAA" w14:textId="77777777" w:rsidR="00415711" w:rsidRDefault="002543FE" w:rsidP="002543FE">
      <w:pPr>
        <w:jc w:val="both"/>
      </w:pPr>
      <w:r>
        <w:t>It is also</w:t>
      </w:r>
      <w:r w:rsidR="00415711">
        <w:t xml:space="preserve"> the case with cloud</w:t>
      </w:r>
      <w:r>
        <w:t xml:space="preserve"> services</w:t>
      </w:r>
      <w:r w:rsidR="00415711">
        <w:t xml:space="preserve"> that </w:t>
      </w:r>
      <w:r>
        <w:t>“</w:t>
      </w:r>
      <w:r w:rsidR="00415711">
        <w:t>the sum of the parts is greater than the whole</w:t>
      </w:r>
      <w:r>
        <w:t>”</w:t>
      </w:r>
      <w:r w:rsidR="00415711">
        <w:t>, and that system development and validation activities take on many new and beneficial characteristics</w:t>
      </w:r>
      <w:r>
        <w:t xml:space="preserve"> that are commensurate with the generic characteristics and benefits of cloud services generally.</w:t>
      </w:r>
      <w:r w:rsidR="00415711">
        <w:t xml:space="preserve">  </w:t>
      </w:r>
    </w:p>
    <w:p w14:paraId="6AC5CFFA" w14:textId="0E60C48A" w:rsidR="00415711" w:rsidRDefault="00415711" w:rsidP="002543FE">
      <w:pPr>
        <w:jc w:val="both"/>
      </w:pPr>
      <w:r>
        <w:t xml:space="preserve">This </w:t>
      </w:r>
      <w:r w:rsidR="004D66F9">
        <w:t>framework</w:t>
      </w:r>
      <w:r>
        <w:t xml:space="preserve"> outlines these approaches leveraging well-recognized concepts</w:t>
      </w:r>
      <w:r w:rsidR="00843DBD">
        <w:t>.</w:t>
      </w:r>
      <w:r>
        <w:t xml:space="preserve"> Topics such as Governance and Supplier Management and Controls are essential</w:t>
      </w:r>
      <w:r w:rsidR="002543FE">
        <w:t xml:space="preserve">; </w:t>
      </w:r>
      <w:r w:rsidR="009765EB">
        <w:t>indeed,</w:t>
      </w:r>
      <w:r>
        <w:t xml:space="preserve"> their importance is exacerbated.</w:t>
      </w:r>
    </w:p>
    <w:p w14:paraId="41C888D4" w14:textId="77777777" w:rsidR="00A10676" w:rsidRDefault="00415711" w:rsidP="001011B1">
      <w:pPr>
        <w:jc w:val="both"/>
      </w:pPr>
      <w:r>
        <w:t>The main conclusion is that despite technology having un</w:t>
      </w:r>
      <w:r w:rsidR="00843DBD">
        <w:t>dergone many evolutionary steps</w:t>
      </w:r>
      <w:r>
        <w:t xml:space="preserve">, the fundamental </w:t>
      </w:r>
      <w:r w:rsidR="00843DBD">
        <w:t>principle</w:t>
      </w:r>
      <w:r w:rsidR="00C34C08">
        <w:t>s</w:t>
      </w:r>
      <w:r>
        <w:t xml:space="preserve"> associated with </w:t>
      </w:r>
      <w:r w:rsidR="001011B1">
        <w:t>regulatory</w:t>
      </w:r>
      <w:r>
        <w:t xml:space="preserve"> predicate rules and good engineering pr</w:t>
      </w:r>
      <w:r w:rsidR="001011B1">
        <w:t>actices still, very much, apply and can be fully exploited.</w:t>
      </w:r>
    </w:p>
    <w:p w14:paraId="652EFA0F" w14:textId="09C1FC31" w:rsidR="001B237F" w:rsidRDefault="001B237F" w:rsidP="001011B1">
      <w:pPr>
        <w:jc w:val="both"/>
      </w:pPr>
      <w:r>
        <w:t>In the current edition</w:t>
      </w:r>
      <w:r w:rsidR="00DA5D38">
        <w:t xml:space="preserve"> of the framework</w:t>
      </w:r>
      <w:r>
        <w:t xml:space="preserve">, the following topics have been further elaborated and outlined in documents on their own: </w:t>
      </w:r>
    </w:p>
    <w:p w14:paraId="6025A8D4" w14:textId="07A2EF38" w:rsidR="00DA5D38" w:rsidRPr="00387768" w:rsidRDefault="00D320AA" w:rsidP="00D320AA">
      <w:pPr>
        <w:pStyle w:val="ListParagraph"/>
        <w:numPr>
          <w:ilvl w:val="0"/>
          <w:numId w:val="27"/>
        </w:numPr>
        <w:jc w:val="both"/>
        <w:rPr>
          <w:color w:val="2E74B5" w:themeColor="accent1" w:themeShade="BF"/>
          <w:lang w:val="fr-FR"/>
        </w:rPr>
      </w:pPr>
      <w:r w:rsidRPr="00387768">
        <w:rPr>
          <w:color w:val="2E74B5" w:themeColor="accent1" w:themeShade="BF"/>
          <w:lang w:val="fr-FR"/>
        </w:rPr>
        <w:t xml:space="preserve">Cloud </w:t>
      </w:r>
      <w:r w:rsidR="00DA5D38" w:rsidRPr="00387768">
        <w:rPr>
          <w:color w:val="2E74B5" w:themeColor="accent1" w:themeShade="BF"/>
          <w:lang w:val="fr-FR"/>
        </w:rPr>
        <w:t>Services – Pre Amble (</w:t>
      </w:r>
      <w:proofErr w:type="spellStart"/>
      <w:r w:rsidR="00DA5D38" w:rsidRPr="00387768">
        <w:rPr>
          <w:color w:val="2E74B5" w:themeColor="accent1" w:themeShade="BF"/>
          <w:lang w:val="fr-FR"/>
        </w:rPr>
        <w:t>this</w:t>
      </w:r>
      <w:proofErr w:type="spellEnd"/>
      <w:r w:rsidR="00DA5D38" w:rsidRPr="00387768">
        <w:rPr>
          <w:color w:val="2E74B5" w:themeColor="accent1" w:themeShade="BF"/>
          <w:lang w:val="fr-FR"/>
        </w:rPr>
        <w:t xml:space="preserve"> document)</w:t>
      </w:r>
    </w:p>
    <w:p w14:paraId="46893C05" w14:textId="2F01DC0E" w:rsidR="00D320AA" w:rsidRPr="009765EB" w:rsidRDefault="00DA5D38" w:rsidP="00D320AA">
      <w:pPr>
        <w:pStyle w:val="ListParagraph"/>
        <w:numPr>
          <w:ilvl w:val="0"/>
          <w:numId w:val="27"/>
        </w:numPr>
        <w:jc w:val="both"/>
        <w:rPr>
          <w:color w:val="2E74B5" w:themeColor="accent1" w:themeShade="BF"/>
        </w:rPr>
      </w:pPr>
      <w:r w:rsidRPr="009765EB">
        <w:rPr>
          <w:color w:val="2E74B5" w:themeColor="accent1" w:themeShade="BF"/>
        </w:rPr>
        <w:t xml:space="preserve">Cloud Services – </w:t>
      </w:r>
      <w:r w:rsidR="00D320AA" w:rsidRPr="009765EB">
        <w:rPr>
          <w:color w:val="2E74B5" w:themeColor="accent1" w:themeShade="BF"/>
        </w:rPr>
        <w:t>Terminology</w:t>
      </w:r>
    </w:p>
    <w:p w14:paraId="19D073E5" w14:textId="53976408" w:rsidR="00D320AA" w:rsidRPr="009765EB" w:rsidRDefault="00D320AA" w:rsidP="00D320AA">
      <w:pPr>
        <w:pStyle w:val="ListParagraph"/>
        <w:numPr>
          <w:ilvl w:val="0"/>
          <w:numId w:val="27"/>
        </w:numPr>
        <w:jc w:val="both"/>
        <w:rPr>
          <w:color w:val="2E74B5" w:themeColor="accent1" w:themeShade="BF"/>
        </w:rPr>
      </w:pPr>
      <w:r w:rsidRPr="009765EB">
        <w:rPr>
          <w:color w:val="2E74B5" w:themeColor="accent1" w:themeShade="BF"/>
        </w:rPr>
        <w:t xml:space="preserve">Cloud </w:t>
      </w:r>
      <w:r w:rsidR="00DA5D38" w:rsidRPr="009765EB">
        <w:rPr>
          <w:color w:val="2E74B5" w:themeColor="accent1" w:themeShade="BF"/>
        </w:rPr>
        <w:t>Services – Audit Activities</w:t>
      </w:r>
    </w:p>
    <w:p w14:paraId="6CFAD721" w14:textId="19890486" w:rsidR="00D320AA" w:rsidRPr="009765EB" w:rsidRDefault="00D320AA" w:rsidP="00D320AA">
      <w:pPr>
        <w:pStyle w:val="ListParagraph"/>
        <w:numPr>
          <w:ilvl w:val="0"/>
          <w:numId w:val="27"/>
        </w:numPr>
        <w:jc w:val="both"/>
        <w:rPr>
          <w:color w:val="2E74B5" w:themeColor="accent1" w:themeShade="BF"/>
        </w:rPr>
      </w:pPr>
      <w:r w:rsidRPr="009765EB">
        <w:rPr>
          <w:color w:val="2E74B5" w:themeColor="accent1" w:themeShade="BF"/>
        </w:rPr>
        <w:t xml:space="preserve">Cloud </w:t>
      </w:r>
      <w:r w:rsidR="00DA5D38" w:rsidRPr="009765EB">
        <w:rPr>
          <w:color w:val="2E74B5" w:themeColor="accent1" w:themeShade="BF"/>
        </w:rPr>
        <w:t>Services – Regulatory Requirements</w:t>
      </w:r>
    </w:p>
    <w:p w14:paraId="40C09CE9" w14:textId="77777777" w:rsidR="005D03AD" w:rsidRDefault="005D03AD">
      <w:r>
        <w:br w:type="page"/>
      </w:r>
    </w:p>
    <w:p w14:paraId="38506386" w14:textId="77777777" w:rsidR="00843DBD" w:rsidRDefault="001B5BDD" w:rsidP="00843DBD">
      <w:pPr>
        <w:pStyle w:val="Heading1"/>
      </w:pPr>
      <w:r>
        <w:t xml:space="preserve"> </w:t>
      </w:r>
      <w:bookmarkStart w:id="2" w:name="_Toc138311599"/>
      <w:r>
        <w:t xml:space="preserve">Background and </w:t>
      </w:r>
      <w:r w:rsidR="00843DBD" w:rsidRPr="006920E6">
        <w:t>Acknowledgements</w:t>
      </w:r>
      <w:bookmarkEnd w:id="2"/>
    </w:p>
    <w:p w14:paraId="7F06CD17" w14:textId="4FF1FCF1" w:rsidR="001B5BDD" w:rsidRDefault="001B5BDD" w:rsidP="001B5BDD">
      <w:pPr>
        <w:pStyle w:val="BodyText"/>
        <w:jc w:val="both"/>
      </w:pPr>
      <w:r w:rsidRPr="00CB6CEA">
        <w:t>While cloud adoption has been robust in industries outs</w:t>
      </w:r>
      <w:r>
        <w:t>ide the life sciences and, to a growing</w:t>
      </w:r>
      <w:r w:rsidRPr="00CB6CEA">
        <w:t xml:space="preserve"> extent, in some non-regulated areas of life sciences, </w:t>
      </w:r>
      <w:r w:rsidR="00A602E7">
        <w:t xml:space="preserve">many </w:t>
      </w:r>
      <w:r w:rsidRPr="00CB6CEA">
        <w:t xml:space="preserve">organizations adhering to good laboratory, clinical, manufacturing </w:t>
      </w:r>
      <w:r>
        <w:t xml:space="preserve">and distribution </w:t>
      </w:r>
      <w:r w:rsidRPr="00CB6CEA">
        <w:t>practices (</w:t>
      </w:r>
      <w:proofErr w:type="spellStart"/>
      <w:r>
        <w:t>GxP</w:t>
      </w:r>
      <w:proofErr w:type="spellEnd"/>
      <w:r w:rsidRPr="00CB6CEA">
        <w:t xml:space="preserve">) are being challenged to scale-up their understanding, interest and </w:t>
      </w:r>
      <w:r>
        <w:t>adoption</w:t>
      </w:r>
      <w:r w:rsidRPr="00CB6CEA">
        <w:t xml:space="preserve"> of cloud-based services.  </w:t>
      </w:r>
    </w:p>
    <w:p w14:paraId="1181959A" w14:textId="597255CF" w:rsidR="00A602E7" w:rsidRDefault="00A602E7" w:rsidP="001B5BDD">
      <w:pPr>
        <w:pStyle w:val="BodyText"/>
        <w:jc w:val="both"/>
      </w:pPr>
      <w:r w:rsidRPr="002D604B">
        <w:t xml:space="preserve">There have been </w:t>
      </w:r>
      <w:r>
        <w:t>nine</w:t>
      </w:r>
      <w:r w:rsidRPr="002D604B">
        <w:t xml:space="preserve"> principal authors of th</w:t>
      </w:r>
      <w:r>
        <w:t>ese</w:t>
      </w:r>
      <w:r w:rsidRPr="002D604B">
        <w:t xml:space="preserve"> </w:t>
      </w:r>
      <w:r>
        <w:t>Cloud Framework D</w:t>
      </w:r>
      <w:r w:rsidRPr="002D604B">
        <w:t>ocument</w:t>
      </w:r>
      <w:r>
        <w:t>s</w:t>
      </w:r>
      <w:r w:rsidRPr="002D604B">
        <w:t xml:space="preserve"> from across the industry – service providers, pharmaceutical </w:t>
      </w:r>
      <w:proofErr w:type="gramStart"/>
      <w:r w:rsidRPr="002D604B">
        <w:t>companies</w:t>
      </w:r>
      <w:proofErr w:type="gramEnd"/>
      <w:r w:rsidRPr="002D604B">
        <w:t xml:space="preserve"> and an independent consultant.</w:t>
      </w:r>
      <w:r>
        <w:t xml:space="preserve"> </w:t>
      </w:r>
      <w:r w:rsidRPr="002D604B">
        <w:t>In addition, some 30 other people have made various forms of contribution to the formulation of th</w:t>
      </w:r>
      <w:r>
        <w:t xml:space="preserve">is document by way of </w:t>
      </w:r>
      <w:r w:rsidRPr="0094485B">
        <w:t>review, case studies and general discussions.</w:t>
      </w:r>
    </w:p>
    <w:p w14:paraId="58F06DBF" w14:textId="77777777" w:rsidR="00A602E7" w:rsidRPr="0094485B" w:rsidRDefault="00A602E7" w:rsidP="00A602E7">
      <w:pPr>
        <w:jc w:val="both"/>
      </w:pPr>
      <w:r w:rsidRPr="0094485B">
        <w:t>Special thanks should be given to:</w:t>
      </w:r>
    </w:p>
    <w:p w14:paraId="0ECBECCA" w14:textId="0015E995" w:rsidR="001D36A8" w:rsidRDefault="001D36A8" w:rsidP="00A602E7">
      <w:pPr>
        <w:pStyle w:val="ListParagraph"/>
        <w:numPr>
          <w:ilvl w:val="0"/>
          <w:numId w:val="22"/>
        </w:numPr>
        <w:jc w:val="both"/>
      </w:pPr>
      <w:r w:rsidRPr="001D36A8">
        <w:t xml:space="preserve">Gregory </w:t>
      </w:r>
      <w:proofErr w:type="spellStart"/>
      <w:r w:rsidRPr="001D36A8">
        <w:t>Purnsley</w:t>
      </w:r>
      <w:proofErr w:type="spellEnd"/>
      <w:r>
        <w:t xml:space="preserve">, </w:t>
      </w:r>
      <w:proofErr w:type="spellStart"/>
      <w:r>
        <w:t>Biocryst</w:t>
      </w:r>
      <w:proofErr w:type="spellEnd"/>
    </w:p>
    <w:p w14:paraId="1AAF27CF" w14:textId="02D70AF4" w:rsidR="00A602E7" w:rsidRPr="00EE6879" w:rsidRDefault="00A602E7" w:rsidP="00A602E7">
      <w:pPr>
        <w:pStyle w:val="ListParagraph"/>
        <w:numPr>
          <w:ilvl w:val="0"/>
          <w:numId w:val="22"/>
        </w:numPr>
        <w:jc w:val="both"/>
      </w:pPr>
      <w:r w:rsidRPr="00EE6879">
        <w:t xml:space="preserve">Suzanne </w:t>
      </w:r>
      <w:proofErr w:type="spellStart"/>
      <w:r w:rsidRPr="00EE6879">
        <w:t>Studinger</w:t>
      </w:r>
      <w:proofErr w:type="spellEnd"/>
      <w:r w:rsidRPr="00EE6879">
        <w:t>, QAS AG</w:t>
      </w:r>
    </w:p>
    <w:p w14:paraId="157E2122" w14:textId="77777777" w:rsidR="00A602E7" w:rsidRPr="00EE6879" w:rsidRDefault="00A602E7" w:rsidP="00A602E7">
      <w:pPr>
        <w:pStyle w:val="ListParagraph"/>
        <w:numPr>
          <w:ilvl w:val="0"/>
          <w:numId w:val="22"/>
        </w:numPr>
        <w:jc w:val="both"/>
      </w:pPr>
      <w:r w:rsidRPr="00EE6879">
        <w:t xml:space="preserve">Daniel </w:t>
      </w:r>
      <w:proofErr w:type="spellStart"/>
      <w:r w:rsidRPr="00EE6879">
        <w:t>Dziadiw</w:t>
      </w:r>
      <w:proofErr w:type="spellEnd"/>
      <w:r w:rsidRPr="00EE6879">
        <w:t>, Merck</w:t>
      </w:r>
    </w:p>
    <w:p w14:paraId="22C9D052" w14:textId="77777777" w:rsidR="00A602E7" w:rsidRPr="00EE6879" w:rsidRDefault="00A602E7" w:rsidP="00A602E7">
      <w:pPr>
        <w:pStyle w:val="ListParagraph"/>
        <w:numPr>
          <w:ilvl w:val="0"/>
          <w:numId w:val="22"/>
        </w:numPr>
        <w:jc w:val="both"/>
      </w:pPr>
      <w:r w:rsidRPr="00EE6879">
        <w:t xml:space="preserve">Robert </w:t>
      </w:r>
      <w:proofErr w:type="spellStart"/>
      <w:r w:rsidRPr="00EE6879">
        <w:t>Streit</w:t>
      </w:r>
      <w:proofErr w:type="spellEnd"/>
      <w:r w:rsidRPr="00EE6879">
        <w:t>, Johnson &amp; Johnson</w:t>
      </w:r>
    </w:p>
    <w:p w14:paraId="2D351C65" w14:textId="77777777" w:rsidR="00A602E7" w:rsidRPr="00EE6879" w:rsidRDefault="00A602E7" w:rsidP="00A602E7">
      <w:pPr>
        <w:pStyle w:val="ListParagraph"/>
        <w:numPr>
          <w:ilvl w:val="0"/>
          <w:numId w:val="22"/>
        </w:numPr>
        <w:jc w:val="both"/>
      </w:pPr>
      <w:proofErr w:type="spellStart"/>
      <w:r w:rsidRPr="00EE6879">
        <w:t>Evjatar</w:t>
      </w:r>
      <w:proofErr w:type="spellEnd"/>
      <w:r w:rsidRPr="00EE6879">
        <w:t xml:space="preserve"> (</w:t>
      </w:r>
      <w:proofErr w:type="spellStart"/>
      <w:r w:rsidRPr="00EE6879">
        <w:t>Evi</w:t>
      </w:r>
      <w:proofErr w:type="spellEnd"/>
      <w:r w:rsidRPr="00EE6879">
        <w:t>) Cohen, Appian Corporation</w:t>
      </w:r>
    </w:p>
    <w:p w14:paraId="3232B0AD" w14:textId="77777777" w:rsidR="00A602E7" w:rsidRDefault="00A602E7" w:rsidP="00A602E7">
      <w:pPr>
        <w:pStyle w:val="ListParagraph"/>
        <w:numPr>
          <w:ilvl w:val="0"/>
          <w:numId w:val="22"/>
        </w:numPr>
        <w:jc w:val="both"/>
      </w:pPr>
      <w:r w:rsidRPr="00EE6879">
        <w:t xml:space="preserve">Anders </w:t>
      </w:r>
      <w:proofErr w:type="spellStart"/>
      <w:r w:rsidRPr="00EE6879">
        <w:t>Vidstrup</w:t>
      </w:r>
      <w:proofErr w:type="spellEnd"/>
      <w:r w:rsidRPr="00EE6879">
        <w:t>, NNIT A/S</w:t>
      </w:r>
    </w:p>
    <w:p w14:paraId="42F6DB26" w14:textId="334A40C2" w:rsidR="001B5BDD" w:rsidRDefault="00A602E7" w:rsidP="001B5BDD">
      <w:pPr>
        <w:pStyle w:val="BodyText"/>
        <w:jc w:val="both"/>
      </w:pPr>
      <w:r>
        <w:t xml:space="preserve">The first version of this Cloud Framework has been issued in 2013. </w:t>
      </w:r>
      <w:r w:rsidR="00600757">
        <w:t xml:space="preserve">Originally, </w:t>
      </w:r>
      <w:r w:rsidR="00600757" w:rsidRPr="00CB6CEA">
        <w:t>the</w:t>
      </w:r>
      <w:r w:rsidR="001B5BDD" w:rsidRPr="00CB6CEA">
        <w:t xml:space="preserve"> Pharmaceutical R&amp;D Information Systems Management Executives Forum (PRISME forum) facilitated the creation of a working group to develop a framework on the topic of </w:t>
      </w:r>
      <w:r>
        <w:t>“</w:t>
      </w:r>
      <w:r w:rsidR="001B5BDD" w:rsidRPr="00CB6CEA">
        <w:t>lowering barriers to the adoption of cloud technologies in regulated life sciences organizations</w:t>
      </w:r>
      <w:r>
        <w:t>”</w:t>
      </w:r>
      <w:r w:rsidR="001B5BDD" w:rsidRPr="00CB6CEA">
        <w:t xml:space="preserve">.  </w:t>
      </w:r>
      <w:r>
        <w:t>Ever since this</w:t>
      </w:r>
      <w:r w:rsidR="001B5BDD">
        <w:t xml:space="preserve"> working group has operated </w:t>
      </w:r>
      <w:r w:rsidR="001B5BDD" w:rsidRPr="00CB6CEA">
        <w:t>under the auspices of the Pharmaceutical User Software Exchange (P</w:t>
      </w:r>
      <w:r w:rsidR="00D512BA">
        <w:t>H</w:t>
      </w:r>
      <w:r w:rsidR="001B5BDD" w:rsidRPr="00CB6CEA">
        <w:t xml:space="preserve">USE) </w:t>
      </w:r>
      <w:r w:rsidR="001B5BDD">
        <w:t xml:space="preserve">and its </w:t>
      </w:r>
      <w:r w:rsidR="001B5BDD" w:rsidRPr="00CB6CEA">
        <w:t xml:space="preserve">collaboration with the FDA </w:t>
      </w:r>
      <w:r w:rsidR="00A16FB0">
        <w:t>as part of</w:t>
      </w:r>
      <w:r w:rsidR="001B5BDD">
        <w:t xml:space="preserve"> the</w:t>
      </w:r>
      <w:r w:rsidR="001B5BDD" w:rsidRPr="00CB6CEA">
        <w:t xml:space="preserve"> Computational Sciences Symposium</w:t>
      </w:r>
      <w:r w:rsidR="001B5BDD">
        <w:t>.</w:t>
      </w:r>
      <w:r w:rsidR="001B5BDD" w:rsidRPr="00CB6CEA">
        <w:t xml:space="preserve"> </w:t>
      </w:r>
    </w:p>
    <w:p w14:paraId="05F1BDA1" w14:textId="77777777" w:rsidR="00A602E7" w:rsidRDefault="00A602E7" w:rsidP="00A602E7">
      <w:pPr>
        <w:jc w:val="both"/>
      </w:pPr>
      <w:r>
        <w:t xml:space="preserve">Today, many intense discussions, meetings, and internal and external presentations later, this framework document has grown into a </w:t>
      </w:r>
      <w:r w:rsidRPr="002543FE">
        <w:rPr>
          <w:i/>
        </w:rPr>
        <w:t>guide</w:t>
      </w:r>
      <w:r>
        <w:t xml:space="preserve"> that has moved from addressing the blocking aspects limiting cloud adoption to pointing out the key elements for a successful adoption of cloud services in the regulated life sciences industries whilst complying with international regulatory standards. </w:t>
      </w:r>
    </w:p>
    <w:p w14:paraId="22AEEEB6" w14:textId="77777777" w:rsidR="00AF7FC3" w:rsidRDefault="00AF7FC3" w:rsidP="001B5BDD">
      <w:pPr>
        <w:jc w:val="both"/>
      </w:pPr>
    </w:p>
    <w:p w14:paraId="4053FBA2" w14:textId="2B96F644" w:rsidR="00843DBD" w:rsidRPr="0094485B" w:rsidRDefault="00843DBD" w:rsidP="00843DBD">
      <w:pPr>
        <w:jc w:val="both"/>
      </w:pPr>
    </w:p>
    <w:p w14:paraId="5C06DC5F" w14:textId="77777777" w:rsidR="00AF7FC3" w:rsidRDefault="00AF7FC3">
      <w:r>
        <w:br w:type="page"/>
      </w:r>
    </w:p>
    <w:p w14:paraId="44881442" w14:textId="77777777" w:rsidR="00CB6CEA" w:rsidRDefault="00270F8D" w:rsidP="006920E6">
      <w:pPr>
        <w:pStyle w:val="Heading1"/>
      </w:pPr>
      <w:bookmarkStart w:id="3" w:name="_Toc272518901"/>
      <w:bookmarkStart w:id="4" w:name="_Toc138311600"/>
      <w:r>
        <w:t>Cloud Services</w:t>
      </w:r>
      <w:bookmarkEnd w:id="3"/>
      <w:r w:rsidR="00252585">
        <w:t xml:space="preserve"> – An Introduction</w:t>
      </w:r>
      <w:bookmarkEnd w:id="4"/>
      <w:r>
        <w:t xml:space="preserve"> </w:t>
      </w:r>
    </w:p>
    <w:p w14:paraId="2D5814A8" w14:textId="7FC9AA4D" w:rsidR="00870BAB" w:rsidRDefault="00870BAB" w:rsidP="00870BAB">
      <w:pPr>
        <w:jc w:val="both"/>
      </w:pPr>
      <w:r>
        <w:t>The use of cloud services is having far-reaching effects on organizations in academia, industry, and government, and the cloud services industry is evolving and changing rapidly in terms of technological innovation as well as how various stakeholders are deploying and leveraging cloud services for the benefit of their own organizations and business models.</w:t>
      </w:r>
    </w:p>
    <w:p w14:paraId="6A2505C9" w14:textId="6A862DAA" w:rsidR="00193381" w:rsidRDefault="000A2ECC" w:rsidP="00855F1F">
      <w:pPr>
        <w:jc w:val="both"/>
      </w:pPr>
      <w:r>
        <w:t>Owing to the rapidly evolving</w:t>
      </w:r>
      <w:r w:rsidR="00193381">
        <w:t xml:space="preserve"> cloud </w:t>
      </w:r>
      <w:r>
        <w:t xml:space="preserve">service </w:t>
      </w:r>
      <w:r w:rsidR="00193381">
        <w:t xml:space="preserve">industry, the term “cloud” is essentially jargon and is open to many different interpretations depending on knowledge, </w:t>
      </w:r>
      <w:proofErr w:type="gramStart"/>
      <w:r w:rsidR="00193381">
        <w:t>experience</w:t>
      </w:r>
      <w:proofErr w:type="gramEnd"/>
      <w:r w:rsidR="00193381">
        <w:t xml:space="preserve"> and perspective.  Within the P</w:t>
      </w:r>
      <w:r w:rsidR="00D512BA">
        <w:t>H</w:t>
      </w:r>
      <w:r w:rsidR="00193381">
        <w:t xml:space="preserve">USE working group, we have resisted the temptation to </w:t>
      </w:r>
      <w:r w:rsidR="00F04DD6">
        <w:t>formulate</w:t>
      </w:r>
      <w:r w:rsidR="00193381">
        <w:t xml:space="preserve"> new definitions</w:t>
      </w:r>
      <w:r w:rsidR="00F04DD6">
        <w:t>, and i</w:t>
      </w:r>
      <w:r w:rsidR="00193381">
        <w:t xml:space="preserve">nstead, </w:t>
      </w:r>
      <w:r w:rsidR="00534814">
        <w:t xml:space="preserve">have </w:t>
      </w:r>
      <w:r w:rsidR="00F04DD6">
        <w:t xml:space="preserve">built our thinking </w:t>
      </w:r>
      <w:r w:rsidR="00632764">
        <w:t xml:space="preserve">- </w:t>
      </w:r>
      <w:r w:rsidR="00F04DD6">
        <w:t>and</w:t>
      </w:r>
      <w:r w:rsidR="00193381">
        <w:t xml:space="preserve"> this framework</w:t>
      </w:r>
      <w:r w:rsidR="00632764">
        <w:t xml:space="preserve"> – </w:t>
      </w:r>
      <w:r w:rsidR="00193381">
        <w:t>on real life examples and case studies, identifying success, failures, benefits, and pitfalls along the way.</w:t>
      </w:r>
    </w:p>
    <w:p w14:paraId="295BDDB7" w14:textId="2B9D1867" w:rsidR="00193381" w:rsidRDefault="00F04DD6" w:rsidP="00855F1F">
      <w:pPr>
        <w:jc w:val="both"/>
      </w:pPr>
      <w:r>
        <w:t>Having</w:t>
      </w:r>
      <w:r w:rsidR="00193381">
        <w:t xml:space="preserve"> acknowledge</w:t>
      </w:r>
      <w:r>
        <w:t>d</w:t>
      </w:r>
      <w:r w:rsidR="00193381">
        <w:t xml:space="preserve"> that a common starting point for understanding cloud is needed</w:t>
      </w:r>
      <w:r>
        <w:t>, we</w:t>
      </w:r>
      <w:r w:rsidR="00855F1F">
        <w:t xml:space="preserve"> </w:t>
      </w:r>
      <w:r w:rsidR="007E1871">
        <w:t>have leveraged</w:t>
      </w:r>
      <w:r>
        <w:t xml:space="preserve"> the </w:t>
      </w:r>
      <w:r w:rsidR="00193381">
        <w:t xml:space="preserve">most </w:t>
      </w:r>
      <w:r w:rsidR="007E1871">
        <w:t>frequently cited</w:t>
      </w:r>
      <w:r w:rsidR="00193381">
        <w:t xml:space="preserve"> definition published in September 2011 by</w:t>
      </w:r>
      <w:r w:rsidR="00521A48">
        <w:t xml:space="preserve"> NIST</w:t>
      </w:r>
      <w:r w:rsidR="00033180">
        <w:t xml:space="preserve"> ref </w:t>
      </w:r>
      <w:r w:rsidR="00E379EE">
        <w:fldChar w:fldCharType="begin"/>
      </w:r>
      <w:r w:rsidR="00E379EE">
        <w:instrText xml:space="preserve"> REF _Ref526683985 \r \h </w:instrText>
      </w:r>
      <w:r w:rsidR="00E379EE">
        <w:fldChar w:fldCharType="separate"/>
      </w:r>
      <w:r w:rsidR="00FB484C">
        <w:t>[3]</w:t>
      </w:r>
      <w:r w:rsidR="00E379EE">
        <w:fldChar w:fldCharType="end"/>
      </w:r>
      <w:r w:rsidR="00193381">
        <w:t>, the Natio</w:t>
      </w:r>
      <w:r>
        <w:t>nal Institute of Standards and Technology, a federal agency within the United States Department of Commerce.</w:t>
      </w:r>
    </w:p>
    <w:p w14:paraId="44558C53" w14:textId="77777777" w:rsidR="009E3669" w:rsidRDefault="00F04DD6" w:rsidP="00C104A7">
      <w:pPr>
        <w:pStyle w:val="IntenseQuote"/>
        <w:pBdr>
          <w:top w:val="none" w:sz="0" w:space="0" w:color="auto"/>
          <w:bottom w:val="none" w:sz="0" w:space="0" w:color="auto"/>
        </w:pBdr>
      </w:pPr>
      <w:r>
        <w:t>“</w:t>
      </w:r>
      <w:r w:rsidRPr="00F04DD6">
        <w:t>Cloud computing is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cloud model is composed of five essential characteristics, three service models, and four deployment models.</w:t>
      </w:r>
      <w:r>
        <w:t>”</w:t>
      </w:r>
    </w:p>
    <w:p w14:paraId="20F513A3" w14:textId="77777777" w:rsidR="00C76E09" w:rsidRPr="00476EF9" w:rsidRDefault="00C76E09" w:rsidP="00C76E09">
      <w:bookmarkStart w:id="5" w:name="_Toc272518902"/>
      <w:r w:rsidRPr="00476EF9">
        <w:t xml:space="preserve">This </w:t>
      </w:r>
      <w:r w:rsidR="00855F1F">
        <w:t>has been</w:t>
      </w:r>
      <w:r w:rsidRPr="00476EF9">
        <w:t xml:space="preserve"> supplemented with definition</w:t>
      </w:r>
      <w:r w:rsidR="00476EF9" w:rsidRPr="00476EF9">
        <w:t>s taken</w:t>
      </w:r>
      <w:r w:rsidR="00521A48">
        <w:t xml:space="preserve"> from ISO</w:t>
      </w:r>
      <w:r w:rsidR="00C41461">
        <w:t xml:space="preserve"> ref </w:t>
      </w:r>
      <w:r w:rsidR="000633A5">
        <w:fldChar w:fldCharType="begin"/>
      </w:r>
      <w:r w:rsidR="000633A5">
        <w:instrText xml:space="preserve"> REF _Ref526682094 \r \h </w:instrText>
      </w:r>
      <w:r w:rsidR="000633A5">
        <w:fldChar w:fldCharType="separate"/>
      </w:r>
      <w:r w:rsidR="0080580B">
        <w:t>[2]</w:t>
      </w:r>
      <w:r w:rsidR="000633A5">
        <w:fldChar w:fldCharType="end"/>
      </w:r>
      <w:r w:rsidR="00521A48">
        <w:t xml:space="preserve"> </w:t>
      </w:r>
      <w:r w:rsidR="00371469">
        <w:t xml:space="preserve">in October </w:t>
      </w:r>
      <w:r w:rsidRPr="00476EF9">
        <w:t>2014.</w:t>
      </w:r>
    </w:p>
    <w:p w14:paraId="74FF12A1" w14:textId="168FD9E2" w:rsidR="00C76E09" w:rsidRDefault="00C76E09" w:rsidP="00C104A7">
      <w:pPr>
        <w:pStyle w:val="IntenseQuote"/>
        <w:pBdr>
          <w:top w:val="none" w:sz="0" w:space="0" w:color="auto"/>
          <w:bottom w:val="none" w:sz="0" w:space="0" w:color="auto"/>
        </w:pBdr>
      </w:pPr>
      <w:r w:rsidRPr="00476EF9">
        <w:t>“</w:t>
      </w:r>
      <w:r w:rsidR="006B40BA" w:rsidRPr="00476EF9">
        <w:t>Paradigm for enabling network access to a scalable and elastic pool of shareable physical or virtual resources with self-service provisioning and administration on-demand.</w:t>
      </w:r>
      <w:r w:rsidRPr="00476EF9">
        <w:t>”</w:t>
      </w:r>
    </w:p>
    <w:p w14:paraId="62632E62" w14:textId="1F7DB5DA" w:rsidR="00681448" w:rsidRDefault="00681448" w:rsidP="00681448">
      <w:pPr>
        <w:jc w:val="both"/>
      </w:pPr>
      <w:r>
        <w:t xml:space="preserve">As such, the </w:t>
      </w:r>
      <w:r w:rsidRPr="00632764">
        <w:rPr>
          <w:i/>
        </w:rPr>
        <w:t>cloud</w:t>
      </w:r>
      <w:r>
        <w:t xml:space="preserve">, simply, refers to software and various IT services in one or across many data centers/facilities. Cloud computing is an evolution of online services and IT deployment models that leverages existing technologies like the Internet, </w:t>
      </w:r>
      <w:r w:rsidR="00600757">
        <w:t>service-oriented</w:t>
      </w:r>
      <w:r>
        <w:t xml:space="preserve"> architecture, virtualization, relational and non-relational databases, deployment and test automation, </w:t>
      </w:r>
      <w:proofErr w:type="gramStart"/>
      <w:r>
        <w:t>identity</w:t>
      </w:r>
      <w:proofErr w:type="gramEnd"/>
      <w:r>
        <w:t xml:space="preserve"> and access management, and so on.  </w:t>
      </w:r>
    </w:p>
    <w:p w14:paraId="1F685913" w14:textId="48E334BE" w:rsidR="00C104A7" w:rsidRDefault="0094485B" w:rsidP="00681448">
      <w:pPr>
        <w:jc w:val="both"/>
      </w:pPr>
      <w:r>
        <w:rPr>
          <w:noProof/>
        </w:rPr>
        <mc:AlternateContent>
          <mc:Choice Requires="wps">
            <w:drawing>
              <wp:anchor distT="0" distB="0" distL="114300" distR="114300" simplePos="0" relativeHeight="251658265" behindDoc="0" locked="0" layoutInCell="1" allowOverlap="1" wp14:anchorId="62FA09BA" wp14:editId="5EF69006">
                <wp:simplePos x="0" y="0"/>
                <wp:positionH relativeFrom="column">
                  <wp:posOffset>1147445</wp:posOffset>
                </wp:positionH>
                <wp:positionV relativeFrom="paragraph">
                  <wp:posOffset>107315</wp:posOffset>
                </wp:positionV>
                <wp:extent cx="3316605" cy="633730"/>
                <wp:effectExtent l="0" t="0" r="17145" b="13970"/>
                <wp:wrapSquare wrapText="bothSides"/>
                <wp:docPr id="9" name="Text Box 9"/>
                <wp:cNvGraphicFramePr/>
                <a:graphic xmlns:a="http://schemas.openxmlformats.org/drawingml/2006/main">
                  <a:graphicData uri="http://schemas.microsoft.com/office/word/2010/wordprocessingShape">
                    <wps:wsp>
                      <wps:cNvSpPr txBox="1"/>
                      <wps:spPr>
                        <a:xfrm>
                          <a:off x="0" y="0"/>
                          <a:ext cx="3316605" cy="63373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193EF5F" w14:textId="67C047D6" w:rsidR="00FA39D6" w:rsidRPr="009B4C6B" w:rsidRDefault="00FA39D6" w:rsidP="00C104A7">
                            <w:pPr>
                              <w:pStyle w:val="ListNumber"/>
                              <w:numPr>
                                <w:ilvl w:val="0"/>
                                <w:numId w:val="0"/>
                              </w:numPr>
                              <w:jc w:val="both"/>
                              <w:rPr>
                                <w:i/>
                                <w:color w:val="2E74B5" w:themeColor="accent1" w:themeShade="BF"/>
                              </w:rPr>
                            </w:pPr>
                            <w:r w:rsidRPr="009B4C6B">
                              <w:rPr>
                                <w:i/>
                                <w:color w:val="2E74B5" w:themeColor="accent1" w:themeShade="BF"/>
                              </w:rPr>
                              <w:t>For further details on Cloud Terminology, see separate document from the Pharmaceutical User Software Exchange (</w:t>
                            </w:r>
                            <w:r w:rsidR="00D512BA">
                              <w:rPr>
                                <w:i/>
                                <w:color w:val="2E74B5" w:themeColor="accent1" w:themeShade="BF"/>
                              </w:rPr>
                              <w:t>PHUSE</w:t>
                            </w:r>
                            <w:r w:rsidRPr="009B4C6B">
                              <w:rPr>
                                <w:i/>
                                <w:color w:val="2E74B5" w:themeColor="accent1" w:themeShade="BF"/>
                              </w:rPr>
                              <w:t xml:space="preserve">), Cloud Services – Terminology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A09BA" id="_x0000_t202" coordsize="21600,21600" o:spt="202" path="m,l,21600r21600,l21600,xe">
                <v:stroke joinstyle="miter"/>
                <v:path gradientshapeok="t" o:connecttype="rect"/>
              </v:shapetype>
              <v:shape id="Text Box 9" o:spid="_x0000_s1026" type="#_x0000_t202" style="position:absolute;left:0;text-align:left;margin-left:90.35pt;margin-top:8.45pt;width:261.15pt;height:49.9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" filled="f" strokecolor="#5b9bd5 [3204]">
                <v:textbox>
                  <w:txbxContent>
                    <w:p w14:paraId="1193EF5F" w14:textId="67C047D6" w:rsidR="00FA39D6" w:rsidRPr="009B4C6B" w:rsidRDefault="00FA39D6" w:rsidP="00C104A7">
                      <w:pPr>
                        <w:pStyle w:val="ListNumber"/>
                        <w:numPr>
                          <w:ilvl w:val="0"/>
                          <w:numId w:val="0"/>
                        </w:numPr>
                        <w:jc w:val="both"/>
                        <w:rPr>
                          <w:i/>
                          <w:color w:val="2E74B5" w:themeColor="accent1" w:themeShade="BF"/>
                        </w:rPr>
                      </w:pPr>
                      <w:r w:rsidRPr="009B4C6B">
                        <w:rPr>
                          <w:i/>
                          <w:color w:val="2E74B5" w:themeColor="accent1" w:themeShade="BF"/>
                        </w:rPr>
                        <w:t>For further details on Cloud Terminology, see separate document from the Pharmaceutical User Software Exchange (</w:t>
                      </w:r>
                      <w:r w:rsidR="00D512BA">
                        <w:rPr>
                          <w:i/>
                          <w:color w:val="2E74B5" w:themeColor="accent1" w:themeShade="BF"/>
                        </w:rPr>
                        <w:t>PHUSE</w:t>
                      </w:r>
                      <w:r w:rsidRPr="009B4C6B">
                        <w:rPr>
                          <w:i/>
                          <w:color w:val="2E74B5" w:themeColor="accent1" w:themeShade="BF"/>
                        </w:rPr>
                        <w:t xml:space="preserve">), Cloud Services – Terminology </w:t>
                      </w:r>
                    </w:p>
                  </w:txbxContent>
                </v:textbox>
                <w10:wrap type="square"/>
              </v:shape>
            </w:pict>
          </mc:Fallback>
        </mc:AlternateContent>
      </w:r>
    </w:p>
    <w:p w14:paraId="3BF29467" w14:textId="7AE1F0E3" w:rsidR="00C104A7" w:rsidRDefault="00C104A7" w:rsidP="00681448">
      <w:pPr>
        <w:jc w:val="both"/>
      </w:pPr>
    </w:p>
    <w:p w14:paraId="3AE21AAD" w14:textId="77777777" w:rsidR="00C104A7" w:rsidRDefault="00C104A7" w:rsidP="00681448">
      <w:pPr>
        <w:jc w:val="both"/>
        <w:rPr>
          <w:rFonts w:asciiTheme="majorHAnsi" w:hAnsiTheme="majorHAnsi"/>
          <w:i/>
          <w:color w:val="2E74B5" w:themeColor="accent1" w:themeShade="BF"/>
        </w:rPr>
      </w:pPr>
    </w:p>
    <w:p w14:paraId="619367BC" w14:textId="06A7DD2C" w:rsidR="00F04DD6" w:rsidRDefault="002301C2" w:rsidP="00F04DD6">
      <w:pPr>
        <w:pStyle w:val="Heading2"/>
      </w:pPr>
      <w:bookmarkStart w:id="6" w:name="_Toc272518903"/>
      <w:bookmarkStart w:id="7" w:name="_Ref432011116"/>
      <w:bookmarkStart w:id="8" w:name="_Toc138311601"/>
      <w:bookmarkEnd w:id="5"/>
      <w:r>
        <w:t xml:space="preserve">Cloud Service Models vs. </w:t>
      </w:r>
      <w:r w:rsidR="007A1E2A">
        <w:t>Traditional Computerized System</w:t>
      </w:r>
      <w:bookmarkEnd w:id="6"/>
      <w:bookmarkEnd w:id="7"/>
      <w:bookmarkEnd w:id="8"/>
    </w:p>
    <w:p w14:paraId="6A111D8B" w14:textId="2DA74A38" w:rsidR="002301C2" w:rsidRPr="002301C2" w:rsidRDefault="002301C2" w:rsidP="00DA5D38">
      <w:pPr>
        <w:pStyle w:val="Heading3"/>
      </w:pPr>
      <w:bookmarkStart w:id="9" w:name="_Toc138311602"/>
      <w:proofErr w:type="spellStart"/>
      <w:r>
        <w:t>GxP</w:t>
      </w:r>
      <w:proofErr w:type="spellEnd"/>
      <w:r>
        <w:t xml:space="preserve"> Computerized System Context</w:t>
      </w:r>
      <w:bookmarkEnd w:id="9"/>
    </w:p>
    <w:p w14:paraId="5270EBD7" w14:textId="640B565F" w:rsidR="002674B0" w:rsidRDefault="00340160" w:rsidP="00B426C2">
      <w:pPr>
        <w:pStyle w:val="BodyText"/>
        <w:jc w:val="both"/>
      </w:pPr>
      <w:r>
        <w:t>T</w:t>
      </w:r>
      <w:r w:rsidR="00FE1F26">
        <w:t xml:space="preserve">he Life Science sector </w:t>
      </w:r>
      <w:r>
        <w:t>is</w:t>
      </w:r>
      <w:r w:rsidR="00FE1F26">
        <w:t xml:space="preserve"> regulated</w:t>
      </w:r>
      <w:r>
        <w:t xml:space="preserve"> and governed</w:t>
      </w:r>
      <w:r w:rsidR="00FE1F26">
        <w:t xml:space="preserve"> by</w:t>
      </w:r>
      <w:r>
        <w:t xml:space="preserve"> G</w:t>
      </w:r>
      <w:r w:rsidR="00B45AD5">
        <w:t xml:space="preserve">ood </w:t>
      </w:r>
      <w:r w:rsidR="00B45AD5" w:rsidRPr="00B45AD5">
        <w:rPr>
          <w:u w:val="single"/>
        </w:rPr>
        <w:t>L</w:t>
      </w:r>
      <w:r w:rsidR="00BA61DE">
        <w:t xml:space="preserve">aboratory, </w:t>
      </w:r>
      <w:r w:rsidR="00B45AD5" w:rsidRPr="00B45AD5">
        <w:rPr>
          <w:u w:val="single"/>
        </w:rPr>
        <w:t>C</w:t>
      </w:r>
      <w:r w:rsidR="00BA61DE">
        <w:t xml:space="preserve">linical, </w:t>
      </w:r>
      <w:r w:rsidR="00B45AD5" w:rsidRPr="00B45AD5">
        <w:rPr>
          <w:u w:val="single"/>
        </w:rPr>
        <w:t>M</w:t>
      </w:r>
      <w:r w:rsidR="00BA61DE">
        <w:t xml:space="preserve">anufacturing and </w:t>
      </w:r>
      <w:r w:rsidR="00B45AD5" w:rsidRPr="00B45AD5">
        <w:rPr>
          <w:u w:val="single"/>
        </w:rPr>
        <w:t>D</w:t>
      </w:r>
      <w:r w:rsidR="00BA61DE">
        <w:t>istribution practices (</w:t>
      </w:r>
      <w:proofErr w:type="spellStart"/>
      <w:r w:rsidR="00607047">
        <w:t>GxP</w:t>
      </w:r>
      <w:proofErr w:type="spellEnd"/>
      <w:r w:rsidR="00BA61DE">
        <w:t>)</w:t>
      </w:r>
      <w:r>
        <w:t xml:space="preserve">. In the context of </w:t>
      </w:r>
      <w:proofErr w:type="spellStart"/>
      <w:r>
        <w:t>GxPs</w:t>
      </w:r>
      <w:proofErr w:type="spellEnd"/>
      <w:r>
        <w:t xml:space="preserve">, </w:t>
      </w:r>
      <w:r w:rsidR="00BA61DE">
        <w:t xml:space="preserve">a </w:t>
      </w:r>
      <w:r w:rsidR="00BA61DE" w:rsidRPr="00CF0149">
        <w:rPr>
          <w:i/>
        </w:rPr>
        <w:t>computerized system</w:t>
      </w:r>
      <w:r w:rsidR="00BA61DE">
        <w:t xml:space="preserve"> [</w:t>
      </w:r>
      <w:r w:rsidR="00BA61DE" w:rsidRPr="007E1871">
        <w:t>traditionally</w:t>
      </w:r>
      <w:r w:rsidR="00BA61DE">
        <w:t>] refers to the “</w:t>
      </w:r>
      <w:r w:rsidR="009B4C6B">
        <w:t>…</w:t>
      </w:r>
      <w:r w:rsidR="00BA61DE">
        <w:t xml:space="preserve">combination of </w:t>
      </w:r>
      <w:r w:rsidR="00D94B4A">
        <w:t>[</w:t>
      </w:r>
      <w:r w:rsidR="00BA61DE">
        <w:t>computer</w:t>
      </w:r>
      <w:r w:rsidR="00D94B4A">
        <w:t>]</w:t>
      </w:r>
      <w:r w:rsidR="00BA61DE">
        <w:t xml:space="preserve"> hardware, infrastructure software, software applications, and associated documents (e.g. user manuals and standard operation procedures) that create, modify, maintain, archive, retrieve, or transmit digital information related to the conduct of </w:t>
      </w:r>
      <w:proofErr w:type="spellStart"/>
      <w:r w:rsidR="00607047">
        <w:t>GxP</w:t>
      </w:r>
      <w:proofErr w:type="spellEnd"/>
      <w:r w:rsidR="00BA61DE">
        <w:t xml:space="preserve"> operations”</w:t>
      </w:r>
      <w:r w:rsidR="00AB269A">
        <w:t xml:space="preserve"> ref </w:t>
      </w:r>
      <w:r w:rsidR="00E379EE">
        <w:fldChar w:fldCharType="begin"/>
      </w:r>
      <w:r w:rsidR="00E379EE">
        <w:instrText xml:space="preserve"> REF _Ref526684145 \r \h </w:instrText>
      </w:r>
      <w:r w:rsidR="00E379EE">
        <w:fldChar w:fldCharType="separate"/>
      </w:r>
      <w:r w:rsidR="0080580B">
        <w:t>[6]</w:t>
      </w:r>
      <w:r w:rsidR="00E379EE">
        <w:fldChar w:fldCharType="end"/>
      </w:r>
      <w:r w:rsidR="00BA61DE">
        <w:t xml:space="preserve">. </w:t>
      </w:r>
    </w:p>
    <w:p w14:paraId="31FAB7E0" w14:textId="166EF98B" w:rsidR="002674B0" w:rsidRDefault="002674B0" w:rsidP="00B426C2">
      <w:pPr>
        <w:pStyle w:val="BodyText"/>
        <w:jc w:val="both"/>
      </w:pPr>
      <w:r>
        <w:t xml:space="preserve">When computerized systems are used in support of laboratory, clinical, or manufacturing processes and handling of predicated data additional controls maybe </w:t>
      </w:r>
      <w:r w:rsidR="004D7B58">
        <w:t>required,</w:t>
      </w:r>
      <w:r>
        <w:t xml:space="preserve"> and a </w:t>
      </w:r>
      <w:r w:rsidR="00600757">
        <w:t>risk-based</w:t>
      </w:r>
      <w:r>
        <w:t xml:space="preserve"> approach is recommended.</w:t>
      </w:r>
    </w:p>
    <w:p w14:paraId="0F117F5D" w14:textId="72B609F7" w:rsidR="0097526A" w:rsidRDefault="002C4CF0" w:rsidP="00B426C2">
      <w:pPr>
        <w:pStyle w:val="BodyText"/>
        <w:jc w:val="both"/>
      </w:pPr>
      <w:r>
        <w:t xml:space="preserve">In this context, the implementation of </w:t>
      </w:r>
      <w:r w:rsidR="00F86C24">
        <w:t>computerized system</w:t>
      </w:r>
      <w:r w:rsidR="00FB7B24">
        <w:t>s</w:t>
      </w:r>
      <w:r w:rsidR="00876480">
        <w:t>,</w:t>
      </w:r>
      <w:r w:rsidR="00FB7B24">
        <w:t xml:space="preserve"> </w:t>
      </w:r>
      <w:r>
        <w:t>traditionally means/meant</w:t>
      </w:r>
      <w:r w:rsidR="00876480">
        <w:t xml:space="preserve"> </w:t>
      </w:r>
      <w:r>
        <w:t xml:space="preserve">that </w:t>
      </w:r>
      <w:r w:rsidR="00876480">
        <w:t xml:space="preserve">the </w:t>
      </w:r>
      <w:proofErr w:type="spellStart"/>
      <w:r w:rsidR="00876480">
        <w:t>GxP</w:t>
      </w:r>
      <w:proofErr w:type="spellEnd"/>
      <w:r w:rsidR="00876480">
        <w:t xml:space="preserve"> </w:t>
      </w:r>
      <w:r w:rsidR="00FB7B24">
        <w:t>organization</w:t>
      </w:r>
      <w:r>
        <w:t xml:space="preserve"> </w:t>
      </w:r>
      <w:r w:rsidR="00876480">
        <w:t>purchases and install</w:t>
      </w:r>
      <w:r w:rsidR="00D9167E">
        <w:t>s</w:t>
      </w:r>
      <w:r w:rsidR="00BA61DE">
        <w:t xml:space="preserve"> the physical hardware, infrastructure software (operating system, database environment, application stack, </w:t>
      </w:r>
      <w:r w:rsidR="00230C65">
        <w:t>etc.</w:t>
      </w:r>
      <w:r w:rsidR="00BA61DE">
        <w:t xml:space="preserve">) and a </w:t>
      </w:r>
      <w:proofErr w:type="spellStart"/>
      <w:r w:rsidR="00607047">
        <w:t>GxP</w:t>
      </w:r>
      <w:proofErr w:type="spellEnd"/>
      <w:r w:rsidR="00BA61DE">
        <w:t xml:space="preserve"> Application</w:t>
      </w:r>
      <w:r w:rsidR="00876480">
        <w:t xml:space="preserve">, </w:t>
      </w:r>
      <w:r w:rsidR="00F86C24">
        <w:t>or</w:t>
      </w:r>
      <w:r w:rsidR="00876480">
        <w:t xml:space="preserve"> outsource</w:t>
      </w:r>
      <w:r w:rsidR="00F86C24">
        <w:t xml:space="preserve">s some or </w:t>
      </w:r>
      <w:proofErr w:type="gramStart"/>
      <w:r w:rsidR="00F86C24">
        <w:t>all of</w:t>
      </w:r>
      <w:proofErr w:type="gramEnd"/>
      <w:r w:rsidR="00F86C24">
        <w:t xml:space="preserve"> these activities to a third party</w:t>
      </w:r>
      <w:r w:rsidR="00BA61DE">
        <w:t xml:space="preserve">.  When these </w:t>
      </w:r>
      <w:r w:rsidR="00E72B1F">
        <w:t>computerized system</w:t>
      </w:r>
      <w:r w:rsidR="00BA61DE">
        <w:t xml:space="preserve"> components are installed in</w:t>
      </w:r>
      <w:r w:rsidR="00DD1934">
        <w:t>side</w:t>
      </w:r>
      <w:r w:rsidR="00BA61DE">
        <w:t xml:space="preserve"> the </w:t>
      </w:r>
      <w:proofErr w:type="spellStart"/>
      <w:r w:rsidR="00607047">
        <w:t>GxP</w:t>
      </w:r>
      <w:proofErr w:type="spellEnd"/>
      <w:r w:rsidR="00F626AC">
        <w:t xml:space="preserve">-regulated organizations </w:t>
      </w:r>
      <w:r w:rsidR="00BA61DE">
        <w:t>facility they’re said to be “on premises</w:t>
      </w:r>
      <w:r w:rsidR="00F86C24">
        <w:t>,</w:t>
      </w:r>
      <w:r w:rsidR="00BA61DE">
        <w:t>” and when they’re installed in someone else’s facility and remotely accessed they’re said to be “co-located” or “</w:t>
      </w:r>
      <w:r w:rsidR="007347C0">
        <w:t xml:space="preserve">externally </w:t>
      </w:r>
      <w:r w:rsidR="00BA61DE">
        <w:t>hosted”.</w:t>
      </w:r>
    </w:p>
    <w:p w14:paraId="2D4FC3F1" w14:textId="5C16A832" w:rsidR="00BA61DE" w:rsidRDefault="00BA61DE" w:rsidP="00B426C2">
      <w:pPr>
        <w:pStyle w:val="BodyText"/>
        <w:jc w:val="both"/>
      </w:pPr>
      <w:r>
        <w:t>Physical computer hardware and infrastructure software (“Infrastructure”) generally consists of commercial-off-the-shelf (COTS) products</w:t>
      </w:r>
      <w:r w:rsidR="007347C0">
        <w:t xml:space="preserve"> and services</w:t>
      </w:r>
      <w:r>
        <w:t xml:space="preserve"> purchased “as is”</w:t>
      </w:r>
      <w:r w:rsidR="00D6348A">
        <w:t xml:space="preserve">. </w:t>
      </w:r>
      <w:r w:rsidR="00E72B1F">
        <w:t>Since infrastructure is typically a</w:t>
      </w:r>
      <w:r>
        <w:t xml:space="preserve"> </w:t>
      </w:r>
      <w:r w:rsidR="00600757">
        <w:t>general-purpose</w:t>
      </w:r>
      <w:r w:rsidR="00343A5E">
        <w:t xml:space="preserve"> </w:t>
      </w:r>
      <w:r w:rsidR="00E72B1F">
        <w:t>IT commodity sold in high volumes in the commercial marketplace, it is</w:t>
      </w:r>
      <w:r>
        <w:t xml:space="preserve"> generally considered </w:t>
      </w:r>
      <w:r w:rsidR="00E72B1F">
        <w:t xml:space="preserve">a </w:t>
      </w:r>
      <w:r>
        <w:t xml:space="preserve">lower risk </w:t>
      </w:r>
      <w:r w:rsidR="00E72B1F">
        <w:t xml:space="preserve">component </w:t>
      </w:r>
      <w:r>
        <w:t xml:space="preserve">of </w:t>
      </w:r>
      <w:r w:rsidR="00E72B1F">
        <w:t>the computerized system</w:t>
      </w:r>
      <w:r w:rsidR="00230C65">
        <w:t xml:space="preserve">, </w:t>
      </w:r>
      <w:r w:rsidR="00230C65" w:rsidRPr="005E2A38">
        <w:t>despite security related issues often related to infrastructure elements</w:t>
      </w:r>
      <w:r w:rsidR="00E72B1F">
        <w:t>.</w:t>
      </w:r>
      <w:r>
        <w:t xml:space="preserve">  After installation, the </w:t>
      </w:r>
      <w:proofErr w:type="spellStart"/>
      <w:r>
        <w:t>G</w:t>
      </w:r>
      <w:r w:rsidR="00607047">
        <w:t>x</w:t>
      </w:r>
      <w:r>
        <w:t>P</w:t>
      </w:r>
      <w:proofErr w:type="spellEnd"/>
      <w:r w:rsidR="00D6348A">
        <w:t xml:space="preserve"> regulated organization </w:t>
      </w:r>
      <w:r>
        <w:t xml:space="preserve">configures and tests the </w:t>
      </w:r>
      <w:r w:rsidR="00600757">
        <w:t>infrastructure</w:t>
      </w:r>
      <w:r>
        <w:t xml:space="preserve"> to verify and document </w:t>
      </w:r>
      <w:r w:rsidR="00343A5E">
        <w:t>proper operation</w:t>
      </w:r>
      <w:r>
        <w:t xml:space="preserve">; this is typically referred to as </w:t>
      </w:r>
      <w:r w:rsidR="00343A5E" w:rsidRPr="00343A5E">
        <w:rPr>
          <w:i/>
        </w:rPr>
        <w:t>infrastructure</w:t>
      </w:r>
      <w:r w:rsidR="00343A5E">
        <w:t xml:space="preserve"> </w:t>
      </w:r>
      <w:r w:rsidRPr="00CF0149">
        <w:rPr>
          <w:i/>
        </w:rPr>
        <w:t>qualification</w:t>
      </w:r>
      <w:r>
        <w:t xml:space="preserve">. </w:t>
      </w:r>
    </w:p>
    <w:p w14:paraId="681CAE05" w14:textId="291902AF" w:rsidR="00BA61DE" w:rsidRPr="00F06D16" w:rsidRDefault="00BA61DE" w:rsidP="00B426C2">
      <w:pPr>
        <w:pStyle w:val="BodyText"/>
        <w:jc w:val="both"/>
      </w:pPr>
      <w:proofErr w:type="spellStart"/>
      <w:r>
        <w:t>G</w:t>
      </w:r>
      <w:r w:rsidR="00607047">
        <w:t>x</w:t>
      </w:r>
      <w:r w:rsidR="00C83D34">
        <w:t>P</w:t>
      </w:r>
      <w:proofErr w:type="spellEnd"/>
      <w:r w:rsidR="00C83D34">
        <w:t xml:space="preserve"> a</w:t>
      </w:r>
      <w:r>
        <w:t xml:space="preserve">pplications installed </w:t>
      </w:r>
      <w:r w:rsidR="0053741F">
        <w:t xml:space="preserve">on </w:t>
      </w:r>
      <w:r>
        <w:t xml:space="preserve">qualified infrastructure </w:t>
      </w:r>
      <w:r w:rsidR="00343A5E">
        <w:t>can be COTS</w:t>
      </w:r>
      <w:r>
        <w:t xml:space="preserve"> or custom software and the level of controls usually depends on the intended use of the application</w:t>
      </w:r>
      <w:r w:rsidR="00E83B76">
        <w:t xml:space="preserve"> and a </w:t>
      </w:r>
      <w:r w:rsidR="00600757">
        <w:t>risk-based</w:t>
      </w:r>
      <w:r w:rsidR="00E83B76">
        <w:t xml:space="preserve"> approach</w:t>
      </w:r>
      <w:r>
        <w:t xml:space="preserve">. </w:t>
      </w:r>
      <w:proofErr w:type="spellStart"/>
      <w:r w:rsidR="00607047">
        <w:t>GxP</w:t>
      </w:r>
      <w:proofErr w:type="spellEnd"/>
      <w:r>
        <w:t xml:space="preserve"> applications are installed on the qualified infrastructure, configured for the specific </w:t>
      </w:r>
      <w:proofErr w:type="spellStart"/>
      <w:r w:rsidR="00607047">
        <w:t>GxP</w:t>
      </w:r>
      <w:proofErr w:type="spellEnd"/>
      <w:r>
        <w:t xml:space="preserve"> processes and procedures, and then tested to ensure the </w:t>
      </w:r>
      <w:r w:rsidR="007A1E2A">
        <w:t>intended use</w:t>
      </w:r>
      <w:r w:rsidR="00607047">
        <w:t xml:space="preserve"> </w:t>
      </w:r>
      <w:r w:rsidR="00CB66C7">
        <w:t xml:space="preserve">and </w:t>
      </w:r>
      <w:r>
        <w:t xml:space="preserve">requirements are fulfilled; this is typically </w:t>
      </w:r>
      <w:r w:rsidR="00E52A5D">
        <w:t xml:space="preserve">referred to as </w:t>
      </w:r>
      <w:r w:rsidR="00B57A7D" w:rsidRPr="00B57A7D">
        <w:rPr>
          <w:i/>
        </w:rPr>
        <w:t>software</w:t>
      </w:r>
      <w:r w:rsidR="00B57A7D">
        <w:t xml:space="preserve"> </w:t>
      </w:r>
      <w:r w:rsidRPr="00CF0149">
        <w:rPr>
          <w:i/>
        </w:rPr>
        <w:t>validation</w:t>
      </w:r>
      <w:r>
        <w:t xml:space="preserve">. </w:t>
      </w:r>
    </w:p>
    <w:p w14:paraId="2F4CDBDF" w14:textId="7FC45344" w:rsidR="00326D7E" w:rsidRDefault="00E72B1F" w:rsidP="00394522">
      <w:pPr>
        <w:pStyle w:val="BodyText"/>
        <w:jc w:val="both"/>
      </w:pPr>
      <w:r>
        <w:t>Th</w:t>
      </w:r>
      <w:r w:rsidR="0053741F">
        <w:t>is</w:t>
      </w:r>
      <w:r>
        <w:t xml:space="preserve"> basic </w:t>
      </w:r>
      <w:r w:rsidR="0065793F">
        <w:t>scenario</w:t>
      </w:r>
      <w:r>
        <w:t xml:space="preserve"> of </w:t>
      </w:r>
      <w:r w:rsidR="0065793F">
        <w:t xml:space="preserve">running </w:t>
      </w:r>
      <w:r>
        <w:t xml:space="preserve">applications installed on infrastructure was the predominant approach in </w:t>
      </w:r>
      <w:proofErr w:type="spellStart"/>
      <w:r>
        <w:t>GxP</w:t>
      </w:r>
      <w:proofErr w:type="spellEnd"/>
      <w:r>
        <w:t xml:space="preserve"> computerized systems until the popularization of hardware</w:t>
      </w:r>
      <w:r w:rsidR="00BA61DE">
        <w:t xml:space="preserve"> virtualization</w:t>
      </w:r>
      <w:r>
        <w:t xml:space="preserve"> in the early to </w:t>
      </w:r>
      <w:r w:rsidR="005D4F47">
        <w:t>mid-1990s</w:t>
      </w:r>
      <w:r>
        <w:t>.</w:t>
      </w:r>
      <w:r w:rsidR="00680358">
        <w:t xml:space="preserve"> </w:t>
      </w:r>
      <w:r>
        <w:t>Developed</w:t>
      </w:r>
      <w:r w:rsidR="00B426C2">
        <w:t xml:space="preserve"> originally</w:t>
      </w:r>
      <w:r>
        <w:t xml:space="preserve"> in the 1960s </w:t>
      </w:r>
      <w:proofErr w:type="gramStart"/>
      <w:r>
        <w:t>as a way to</w:t>
      </w:r>
      <w:proofErr w:type="gramEnd"/>
      <w:r>
        <w:t xml:space="preserve"> support time-sharing of mainframes, virtualization allows</w:t>
      </w:r>
      <w:r w:rsidR="00BA61DE">
        <w:t xml:space="preserve"> a single piece of computer hardware (</w:t>
      </w:r>
      <w:r w:rsidR="00600757">
        <w:t>i.e.,</w:t>
      </w:r>
      <w:r w:rsidR="00BA61DE">
        <w:t xml:space="preserve"> server) </w:t>
      </w:r>
      <w:r w:rsidR="0065793F">
        <w:t>to</w:t>
      </w:r>
      <w:r w:rsidR="00BA61DE">
        <w:t xml:space="preserve"> operate one or more virtual </w:t>
      </w:r>
      <w:r w:rsidR="0065793F">
        <w:t>machines</w:t>
      </w:r>
      <w:r w:rsidR="00BA61DE">
        <w:t xml:space="preserve"> that operate independently</w:t>
      </w:r>
      <w:r w:rsidR="0065793F">
        <w:t xml:space="preserve"> and securely</w:t>
      </w:r>
      <w:r w:rsidR="0082124C">
        <w:t>.</w:t>
      </w:r>
      <w:r w:rsidR="00BA61DE">
        <w:t xml:space="preserve"> </w:t>
      </w:r>
      <w:r w:rsidR="0082124C">
        <w:t>This provides</w:t>
      </w:r>
      <w:r w:rsidR="00BA61DE">
        <w:t xml:space="preserve"> more efficient use of the physical hardware and </w:t>
      </w:r>
      <w:r w:rsidR="0082124C">
        <w:t xml:space="preserve">greater </w:t>
      </w:r>
      <w:r w:rsidR="00BA61DE">
        <w:t xml:space="preserve">flexibility to run different software programs and security groups in each virtual </w:t>
      </w:r>
      <w:r w:rsidR="0065793F">
        <w:t>machine</w:t>
      </w:r>
      <w:r w:rsidR="00BA61DE">
        <w:t>.</w:t>
      </w:r>
      <w:r w:rsidR="00B57A7D">
        <w:t xml:space="preserve">  </w:t>
      </w:r>
      <w:r w:rsidR="00BA61DE">
        <w:t xml:space="preserve">The </w:t>
      </w:r>
      <w:r w:rsidR="003D1714">
        <w:t>infrastructure component</w:t>
      </w:r>
      <w:r w:rsidR="00BA61DE">
        <w:t xml:space="preserve"> that makes virtualization possible is called a virtual machine manager (“hypervisor”)</w:t>
      </w:r>
      <w:r w:rsidR="0082124C">
        <w:t>.</w:t>
      </w:r>
      <w:r w:rsidR="00BA61DE">
        <w:t xml:space="preserve"> </w:t>
      </w:r>
    </w:p>
    <w:p w14:paraId="2DEC916E" w14:textId="77777777" w:rsidR="00A33A88" w:rsidRDefault="00A33A88" w:rsidP="003B03C7">
      <w:pPr>
        <w:pStyle w:val="Heading3"/>
      </w:pPr>
      <w:bookmarkStart w:id="10" w:name="_Toc138311603"/>
      <w:r>
        <w:t>Cloud Service Models</w:t>
      </w:r>
      <w:bookmarkEnd w:id="10"/>
    </w:p>
    <w:p w14:paraId="1BA00BF6" w14:textId="6793FD7A" w:rsidR="00497642" w:rsidRDefault="00326D7E" w:rsidP="00394522">
      <w:pPr>
        <w:pStyle w:val="BodyText"/>
        <w:jc w:val="both"/>
      </w:pPr>
      <w:r>
        <w:t xml:space="preserve">The following graphic </w:t>
      </w:r>
      <w:r w:rsidR="00BA61DE">
        <w:t>depicts the basic elements of such a</w:t>
      </w:r>
      <w:r>
        <w:t>n overall</w:t>
      </w:r>
      <w:r w:rsidR="00BA61DE">
        <w:t xml:space="preserve"> virtua</w:t>
      </w:r>
      <w:r>
        <w:t xml:space="preserve">lized computer system in a “total stack” format geared toward </w:t>
      </w:r>
      <w:proofErr w:type="spellStart"/>
      <w:r>
        <w:t>GxP</w:t>
      </w:r>
      <w:proofErr w:type="spellEnd"/>
      <w:r>
        <w:t xml:space="preserve"> and its high-level aspects that are dealt with elsewhere in this document.</w:t>
      </w:r>
      <w:r w:rsidR="0095377E">
        <w:t xml:space="preserve"> </w:t>
      </w:r>
    </w:p>
    <w:tbl>
      <w:tblPr>
        <w:tblStyle w:val="TableGrid"/>
        <w:tblW w:w="27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ayout w:type="fixed"/>
        <w:tblLook w:val="04A0" w:firstRow="1" w:lastRow="0" w:firstColumn="1" w:lastColumn="0" w:noHBand="0" w:noVBand="1"/>
      </w:tblPr>
      <w:tblGrid>
        <w:gridCol w:w="2267"/>
        <w:gridCol w:w="2636"/>
      </w:tblGrid>
      <w:tr w:rsidR="005D4F47" w:rsidRPr="00497642" w14:paraId="75442D48" w14:textId="77777777" w:rsidTr="004C1989">
        <w:trPr>
          <w:trHeight w:val="279"/>
          <w:jc w:val="center"/>
        </w:trPr>
        <w:tc>
          <w:tcPr>
            <w:tcW w:w="2321" w:type="dxa"/>
            <w:shd w:val="clear" w:color="auto" w:fill="auto"/>
          </w:tcPr>
          <w:p w14:paraId="65F79AEE" w14:textId="77777777" w:rsidR="005D4F47" w:rsidRDefault="005D4F47">
            <w:pPr>
              <w:keepNext/>
              <w:jc w:val="center"/>
              <w:rPr>
                <w:b/>
                <w:sz w:val="20"/>
                <w:szCs w:val="20"/>
              </w:rPr>
            </w:pPr>
          </w:p>
        </w:tc>
        <w:tc>
          <w:tcPr>
            <w:tcW w:w="2700" w:type="dxa"/>
            <w:tcBorders>
              <w:bottom w:val="dashed" w:sz="4" w:space="0" w:color="auto"/>
            </w:tcBorders>
            <w:shd w:val="clear" w:color="auto" w:fill="auto"/>
            <w:vAlign w:val="center"/>
          </w:tcPr>
          <w:p w14:paraId="66FF9000" w14:textId="77777777" w:rsidR="005D4F47" w:rsidRPr="00805E15" w:rsidRDefault="005D4F47">
            <w:pPr>
              <w:keepNext/>
              <w:jc w:val="center"/>
              <w:rPr>
                <w:b/>
              </w:rPr>
            </w:pPr>
            <w:proofErr w:type="spellStart"/>
            <w:r w:rsidRPr="00805E15">
              <w:rPr>
                <w:b/>
                <w:color w:val="2E74B5" w:themeColor="accent1" w:themeShade="BF"/>
              </w:rPr>
              <w:t>GxP</w:t>
            </w:r>
            <w:proofErr w:type="spellEnd"/>
            <w:r w:rsidRPr="00805E15">
              <w:rPr>
                <w:b/>
                <w:color w:val="2E74B5" w:themeColor="accent1" w:themeShade="BF"/>
              </w:rPr>
              <w:t xml:space="preserve"> Requirements</w:t>
            </w:r>
          </w:p>
        </w:tc>
      </w:tr>
      <w:tr w:rsidR="005D4F47" w:rsidRPr="001E7FC5" w14:paraId="091D6E21" w14:textId="77777777" w:rsidTr="004C1989">
        <w:trPr>
          <w:trHeight w:val="732"/>
          <w:jc w:val="center"/>
        </w:trPr>
        <w:tc>
          <w:tcPr>
            <w:tcW w:w="2321" w:type="dxa"/>
            <w:tcBorders>
              <w:bottom w:val="single" w:sz="12" w:space="0" w:color="FFFFFF" w:themeColor="background1"/>
            </w:tcBorders>
            <w:shd w:val="clear" w:color="auto" w:fill="5B9BD5" w:themeFill="accent1"/>
            <w:vAlign w:val="center"/>
          </w:tcPr>
          <w:p w14:paraId="538A28D4" w14:textId="77777777" w:rsidR="005D4F47" w:rsidRDefault="005D4F47" w:rsidP="006D0F7D">
            <w:pPr>
              <w:jc w:val="center"/>
              <w:rPr>
                <w:b/>
                <w:color w:val="FFFFFF" w:themeColor="background1"/>
                <w:sz w:val="20"/>
                <w:szCs w:val="20"/>
              </w:rPr>
            </w:pPr>
            <w:proofErr w:type="spellStart"/>
            <w:r>
              <w:rPr>
                <w:b/>
                <w:color w:val="FFFFFF" w:themeColor="background1"/>
                <w:sz w:val="20"/>
                <w:szCs w:val="20"/>
              </w:rPr>
              <w:t>GxP</w:t>
            </w:r>
            <w:proofErr w:type="spellEnd"/>
            <w:r>
              <w:rPr>
                <w:b/>
                <w:color w:val="FFFFFF" w:themeColor="background1"/>
                <w:sz w:val="20"/>
                <w:szCs w:val="20"/>
              </w:rPr>
              <w:t xml:space="preserve"> Organization</w:t>
            </w:r>
          </w:p>
        </w:tc>
        <w:tc>
          <w:tcPr>
            <w:tcW w:w="2700" w:type="dxa"/>
            <w:tcBorders>
              <w:top w:val="dashed" w:sz="4" w:space="0" w:color="auto"/>
              <w:bottom w:val="dashed" w:sz="4" w:space="0" w:color="auto"/>
            </w:tcBorders>
            <w:shd w:val="clear" w:color="auto" w:fill="auto"/>
            <w:vAlign w:val="center"/>
          </w:tcPr>
          <w:p w14:paraId="764D28A6" w14:textId="77777777" w:rsidR="005D4F47" w:rsidRPr="00497642" w:rsidRDefault="005D4F47" w:rsidP="006D0F7D">
            <w:pPr>
              <w:rPr>
                <w:i/>
                <w:sz w:val="20"/>
                <w:szCs w:val="20"/>
              </w:rPr>
            </w:pPr>
            <w:r>
              <w:rPr>
                <w:i/>
                <w:sz w:val="20"/>
                <w:szCs w:val="20"/>
              </w:rPr>
              <w:t>IT Policies &amp; Standards</w:t>
            </w:r>
          </w:p>
        </w:tc>
      </w:tr>
      <w:tr w:rsidR="005D4F47" w:rsidRPr="001E7FC5" w14:paraId="0C742922" w14:textId="77777777" w:rsidTr="004C1989">
        <w:trPr>
          <w:trHeight w:val="732"/>
          <w:jc w:val="center"/>
        </w:trPr>
        <w:tc>
          <w:tcPr>
            <w:tcW w:w="2321" w:type="dxa"/>
            <w:tcBorders>
              <w:top w:val="single" w:sz="12" w:space="0" w:color="FFFFFF" w:themeColor="background1"/>
              <w:bottom w:val="single" w:sz="12" w:space="0" w:color="FFFFFF" w:themeColor="background1"/>
            </w:tcBorders>
            <w:shd w:val="clear" w:color="auto" w:fill="5B9BD5" w:themeFill="accent1"/>
            <w:vAlign w:val="center"/>
          </w:tcPr>
          <w:p w14:paraId="4916AB59" w14:textId="77777777" w:rsidR="005D4F47" w:rsidRDefault="005D4F47" w:rsidP="006D0F7D">
            <w:pPr>
              <w:jc w:val="center"/>
              <w:rPr>
                <w:b/>
                <w:color w:val="FFFFFF" w:themeColor="background1"/>
                <w:sz w:val="20"/>
                <w:szCs w:val="20"/>
              </w:rPr>
            </w:pPr>
            <w:proofErr w:type="spellStart"/>
            <w:r>
              <w:rPr>
                <w:b/>
                <w:color w:val="FFFFFF" w:themeColor="background1"/>
                <w:sz w:val="20"/>
                <w:szCs w:val="20"/>
              </w:rPr>
              <w:t>GxP</w:t>
            </w:r>
            <w:proofErr w:type="spellEnd"/>
            <w:r>
              <w:rPr>
                <w:b/>
                <w:color w:val="FFFFFF" w:themeColor="background1"/>
                <w:sz w:val="20"/>
                <w:szCs w:val="20"/>
              </w:rPr>
              <w:t xml:space="preserve"> Intended Use</w:t>
            </w:r>
          </w:p>
        </w:tc>
        <w:tc>
          <w:tcPr>
            <w:tcW w:w="2700" w:type="dxa"/>
            <w:tcBorders>
              <w:top w:val="dashed" w:sz="4" w:space="0" w:color="auto"/>
              <w:bottom w:val="dashed" w:sz="4" w:space="0" w:color="auto"/>
            </w:tcBorders>
            <w:shd w:val="clear" w:color="auto" w:fill="auto"/>
            <w:vAlign w:val="center"/>
          </w:tcPr>
          <w:p w14:paraId="05B85A7D" w14:textId="77777777" w:rsidR="005D4F47" w:rsidRPr="00497642" w:rsidRDefault="00B46403" w:rsidP="006D0F7D">
            <w:pPr>
              <w:rPr>
                <w:i/>
                <w:sz w:val="20"/>
                <w:szCs w:val="20"/>
              </w:rPr>
            </w:pPr>
            <w:proofErr w:type="spellStart"/>
            <w:r>
              <w:rPr>
                <w:i/>
                <w:sz w:val="20"/>
                <w:szCs w:val="20"/>
              </w:rPr>
              <w:t>GxP</w:t>
            </w:r>
            <w:proofErr w:type="spellEnd"/>
            <w:r w:rsidR="005D4F47">
              <w:rPr>
                <w:i/>
                <w:sz w:val="20"/>
                <w:szCs w:val="20"/>
              </w:rPr>
              <w:t xml:space="preserve"> SOPs </w:t>
            </w:r>
            <w:r w:rsidR="005D4F47">
              <w:rPr>
                <w:i/>
                <w:sz w:val="20"/>
                <w:szCs w:val="20"/>
              </w:rPr>
              <w:br/>
              <w:t>Process Validation</w:t>
            </w:r>
          </w:p>
        </w:tc>
      </w:tr>
      <w:tr w:rsidR="005D4F47" w:rsidRPr="001E7FC5" w14:paraId="1ABF1F47" w14:textId="77777777" w:rsidTr="004C1989">
        <w:trPr>
          <w:trHeight w:val="1269"/>
          <w:jc w:val="center"/>
        </w:trPr>
        <w:tc>
          <w:tcPr>
            <w:tcW w:w="2321" w:type="dxa"/>
            <w:tcBorders>
              <w:top w:val="single" w:sz="12" w:space="0" w:color="FFFFFF" w:themeColor="background1"/>
              <w:bottom w:val="single" w:sz="12" w:space="0" w:color="FFFFFF" w:themeColor="background1"/>
            </w:tcBorders>
            <w:shd w:val="clear" w:color="auto" w:fill="5B9BD5" w:themeFill="accent1"/>
            <w:vAlign w:val="center"/>
          </w:tcPr>
          <w:p w14:paraId="5F5AA7E9" w14:textId="77777777" w:rsidR="005D4F47" w:rsidRPr="001E7FC5" w:rsidRDefault="005D4F47" w:rsidP="0097526A">
            <w:pPr>
              <w:jc w:val="center"/>
              <w:rPr>
                <w:b/>
                <w:color w:val="FFFFFF" w:themeColor="background1"/>
                <w:sz w:val="20"/>
                <w:szCs w:val="20"/>
              </w:rPr>
            </w:pPr>
            <w:r>
              <w:rPr>
                <w:b/>
                <w:color w:val="FFFFFF" w:themeColor="background1"/>
                <w:sz w:val="20"/>
                <w:szCs w:val="20"/>
              </w:rPr>
              <w:t>COTS/Custom Software</w:t>
            </w:r>
          </w:p>
        </w:tc>
        <w:tc>
          <w:tcPr>
            <w:tcW w:w="2700" w:type="dxa"/>
            <w:tcBorders>
              <w:top w:val="dashed" w:sz="4" w:space="0" w:color="auto"/>
              <w:bottom w:val="dashed" w:sz="4" w:space="0" w:color="auto"/>
            </w:tcBorders>
            <w:shd w:val="clear" w:color="auto" w:fill="auto"/>
            <w:vAlign w:val="center"/>
          </w:tcPr>
          <w:p w14:paraId="33E87614" w14:textId="77777777" w:rsidR="005D4F47" w:rsidRDefault="005D4F47" w:rsidP="002F3980">
            <w:pPr>
              <w:rPr>
                <w:i/>
                <w:sz w:val="20"/>
                <w:szCs w:val="20"/>
              </w:rPr>
            </w:pPr>
            <w:r>
              <w:rPr>
                <w:i/>
                <w:sz w:val="20"/>
                <w:szCs w:val="20"/>
              </w:rPr>
              <w:t>Software Operations</w:t>
            </w:r>
          </w:p>
          <w:p w14:paraId="7806AE56" w14:textId="77777777" w:rsidR="005D4F47" w:rsidRPr="00497642" w:rsidRDefault="005D4F47" w:rsidP="00562C31">
            <w:pPr>
              <w:rPr>
                <w:i/>
                <w:sz w:val="20"/>
                <w:szCs w:val="20"/>
              </w:rPr>
            </w:pPr>
            <w:r w:rsidRPr="00497642">
              <w:rPr>
                <w:i/>
                <w:sz w:val="20"/>
                <w:szCs w:val="20"/>
              </w:rPr>
              <w:t>Software Validation</w:t>
            </w:r>
          </w:p>
          <w:p w14:paraId="335B079D" w14:textId="77777777" w:rsidR="005D4F47" w:rsidRPr="00497642" w:rsidRDefault="005D4F47" w:rsidP="00562C31">
            <w:pPr>
              <w:rPr>
                <w:i/>
                <w:sz w:val="20"/>
                <w:szCs w:val="20"/>
              </w:rPr>
            </w:pPr>
            <w:r w:rsidRPr="00497642">
              <w:rPr>
                <w:i/>
                <w:sz w:val="20"/>
                <w:szCs w:val="20"/>
              </w:rPr>
              <w:t xml:space="preserve">Software </w:t>
            </w:r>
            <w:r>
              <w:rPr>
                <w:i/>
                <w:sz w:val="20"/>
                <w:szCs w:val="20"/>
              </w:rPr>
              <w:t>Purchasing/</w:t>
            </w:r>
            <w:r w:rsidRPr="00497642">
              <w:rPr>
                <w:i/>
                <w:sz w:val="20"/>
                <w:szCs w:val="20"/>
              </w:rPr>
              <w:t>Development</w:t>
            </w:r>
          </w:p>
          <w:p w14:paraId="463FDAF1" w14:textId="77777777" w:rsidR="005D4F47" w:rsidRPr="00497642" w:rsidRDefault="005D4F47" w:rsidP="00562C31">
            <w:pPr>
              <w:rPr>
                <w:i/>
                <w:sz w:val="20"/>
                <w:szCs w:val="20"/>
              </w:rPr>
            </w:pPr>
            <w:r w:rsidRPr="00497642">
              <w:rPr>
                <w:i/>
                <w:sz w:val="20"/>
                <w:szCs w:val="20"/>
              </w:rPr>
              <w:t>Supplier Assessment</w:t>
            </w:r>
          </w:p>
        </w:tc>
      </w:tr>
      <w:tr w:rsidR="00854F9B" w:rsidRPr="00A602E7" w14:paraId="5AC56E36" w14:textId="77777777" w:rsidTr="004C1989">
        <w:trPr>
          <w:trHeight w:val="732"/>
          <w:jc w:val="center"/>
        </w:trPr>
        <w:tc>
          <w:tcPr>
            <w:tcW w:w="2321" w:type="dxa"/>
            <w:tcBorders>
              <w:top w:val="single" w:sz="12" w:space="0" w:color="FFFFFF" w:themeColor="background1"/>
              <w:bottom w:val="single" w:sz="12" w:space="0" w:color="FFFFFF" w:themeColor="background1"/>
            </w:tcBorders>
            <w:shd w:val="clear" w:color="auto" w:fill="5B9BD5" w:themeFill="accent1"/>
            <w:vAlign w:val="center"/>
          </w:tcPr>
          <w:p w14:paraId="311FA476" w14:textId="77777777" w:rsidR="00854F9B" w:rsidRDefault="00854F9B" w:rsidP="003D1714">
            <w:pPr>
              <w:jc w:val="center"/>
              <w:rPr>
                <w:b/>
                <w:color w:val="FFFFFF" w:themeColor="background1"/>
                <w:sz w:val="20"/>
                <w:szCs w:val="20"/>
              </w:rPr>
            </w:pPr>
            <w:r>
              <w:rPr>
                <w:b/>
                <w:color w:val="FFFFFF" w:themeColor="background1"/>
                <w:sz w:val="20"/>
                <w:szCs w:val="20"/>
              </w:rPr>
              <w:t xml:space="preserve">OS / Application Framework / Database Engines / Storage </w:t>
            </w:r>
          </w:p>
        </w:tc>
        <w:tc>
          <w:tcPr>
            <w:tcW w:w="2700" w:type="dxa"/>
            <w:vMerge w:val="restart"/>
            <w:tcBorders>
              <w:top w:val="dashed" w:sz="4" w:space="0" w:color="auto"/>
              <w:bottom w:val="dashed" w:sz="4" w:space="0" w:color="auto"/>
            </w:tcBorders>
            <w:shd w:val="clear" w:color="auto" w:fill="auto"/>
            <w:vAlign w:val="center"/>
          </w:tcPr>
          <w:p w14:paraId="25F50927" w14:textId="77777777" w:rsidR="00854F9B" w:rsidRPr="00387768" w:rsidRDefault="00854F9B" w:rsidP="00562C31">
            <w:pPr>
              <w:rPr>
                <w:i/>
                <w:sz w:val="20"/>
                <w:szCs w:val="20"/>
                <w:lang w:val="fr-FR"/>
              </w:rPr>
            </w:pPr>
            <w:r w:rsidRPr="00387768">
              <w:rPr>
                <w:i/>
                <w:sz w:val="20"/>
                <w:szCs w:val="20"/>
                <w:lang w:val="fr-FR"/>
              </w:rPr>
              <w:t>Infrastructure Maintenance</w:t>
            </w:r>
          </w:p>
          <w:p w14:paraId="446CDF2E" w14:textId="77777777" w:rsidR="00854F9B" w:rsidRPr="00387768" w:rsidRDefault="00854F9B" w:rsidP="00562C31">
            <w:pPr>
              <w:rPr>
                <w:i/>
                <w:sz w:val="20"/>
                <w:szCs w:val="20"/>
                <w:lang w:val="fr-FR"/>
              </w:rPr>
            </w:pPr>
            <w:r w:rsidRPr="00387768">
              <w:rPr>
                <w:i/>
                <w:sz w:val="20"/>
                <w:szCs w:val="20"/>
                <w:lang w:val="fr-FR"/>
              </w:rPr>
              <w:t>Infrastructure Qualification</w:t>
            </w:r>
          </w:p>
          <w:p w14:paraId="1FBAC287" w14:textId="77777777" w:rsidR="00854F9B" w:rsidRPr="00387768" w:rsidRDefault="00854F9B" w:rsidP="00562C31">
            <w:pPr>
              <w:rPr>
                <w:i/>
                <w:sz w:val="20"/>
                <w:szCs w:val="20"/>
                <w:lang w:val="fr-FR"/>
              </w:rPr>
            </w:pPr>
            <w:r w:rsidRPr="00387768">
              <w:rPr>
                <w:i/>
                <w:sz w:val="20"/>
                <w:lang w:val="fr-FR"/>
              </w:rPr>
              <w:t>Infrastructure</w:t>
            </w:r>
            <w:r w:rsidRPr="00387768">
              <w:rPr>
                <w:i/>
                <w:sz w:val="20"/>
                <w:szCs w:val="20"/>
                <w:lang w:val="fr-FR"/>
              </w:rPr>
              <w:t xml:space="preserve"> </w:t>
            </w:r>
            <w:proofErr w:type="spellStart"/>
            <w:r w:rsidRPr="00387768">
              <w:rPr>
                <w:i/>
                <w:sz w:val="20"/>
                <w:szCs w:val="20"/>
                <w:lang w:val="fr-FR"/>
              </w:rPr>
              <w:t>Purchasing</w:t>
            </w:r>
            <w:proofErr w:type="spellEnd"/>
          </w:p>
        </w:tc>
      </w:tr>
      <w:tr w:rsidR="00854F9B" w:rsidRPr="001E7FC5" w14:paraId="31F6FD9C" w14:textId="77777777" w:rsidTr="004C1989">
        <w:trPr>
          <w:trHeight w:val="732"/>
          <w:jc w:val="center"/>
        </w:trPr>
        <w:tc>
          <w:tcPr>
            <w:tcW w:w="2321" w:type="dxa"/>
            <w:tcBorders>
              <w:top w:val="single" w:sz="12" w:space="0" w:color="FFFFFF" w:themeColor="background1"/>
              <w:bottom w:val="single" w:sz="12" w:space="0" w:color="FFFFFF" w:themeColor="background1"/>
            </w:tcBorders>
            <w:shd w:val="clear" w:color="auto" w:fill="5B9BD5" w:themeFill="accent1"/>
            <w:vAlign w:val="center"/>
          </w:tcPr>
          <w:p w14:paraId="6321FE28" w14:textId="77777777" w:rsidR="00854F9B" w:rsidRDefault="00854F9B" w:rsidP="002F3980">
            <w:pPr>
              <w:jc w:val="center"/>
              <w:rPr>
                <w:b/>
                <w:color w:val="FFFFFF" w:themeColor="background1"/>
                <w:sz w:val="20"/>
                <w:szCs w:val="20"/>
              </w:rPr>
            </w:pPr>
            <w:r>
              <w:rPr>
                <w:b/>
                <w:color w:val="FFFFFF" w:themeColor="background1"/>
                <w:sz w:val="20"/>
                <w:szCs w:val="20"/>
              </w:rPr>
              <w:t>Virtual Hardware</w:t>
            </w:r>
          </w:p>
        </w:tc>
        <w:tc>
          <w:tcPr>
            <w:tcW w:w="2700" w:type="dxa"/>
            <w:vMerge/>
            <w:tcBorders>
              <w:top w:val="dashed" w:sz="4" w:space="0" w:color="auto"/>
              <w:bottom w:val="dashed" w:sz="4" w:space="0" w:color="auto"/>
            </w:tcBorders>
            <w:shd w:val="clear" w:color="auto" w:fill="auto"/>
            <w:vAlign w:val="center"/>
          </w:tcPr>
          <w:p w14:paraId="2A203DFE" w14:textId="77777777" w:rsidR="00854F9B" w:rsidRPr="00497642" w:rsidRDefault="00854F9B" w:rsidP="006D0F7D">
            <w:pPr>
              <w:rPr>
                <w:i/>
                <w:sz w:val="20"/>
                <w:szCs w:val="20"/>
              </w:rPr>
            </w:pPr>
          </w:p>
        </w:tc>
      </w:tr>
      <w:tr w:rsidR="00854F9B" w:rsidRPr="001E7FC5" w14:paraId="4148591F" w14:textId="77777777" w:rsidTr="004C1989">
        <w:trPr>
          <w:trHeight w:val="732"/>
          <w:jc w:val="center"/>
        </w:trPr>
        <w:tc>
          <w:tcPr>
            <w:tcW w:w="2321" w:type="dxa"/>
            <w:tcBorders>
              <w:top w:val="single" w:sz="12" w:space="0" w:color="FFFFFF" w:themeColor="background1"/>
              <w:bottom w:val="single" w:sz="12" w:space="0" w:color="FFFFFF" w:themeColor="background1"/>
            </w:tcBorders>
            <w:shd w:val="clear" w:color="auto" w:fill="5B9BD5" w:themeFill="accent1"/>
            <w:vAlign w:val="center"/>
          </w:tcPr>
          <w:p w14:paraId="6B6C1652" w14:textId="77777777" w:rsidR="00854F9B" w:rsidRDefault="00854F9B" w:rsidP="0097526A">
            <w:pPr>
              <w:jc w:val="center"/>
              <w:rPr>
                <w:b/>
                <w:color w:val="FFFFFF" w:themeColor="background1"/>
                <w:sz w:val="20"/>
                <w:szCs w:val="20"/>
              </w:rPr>
            </w:pPr>
            <w:r>
              <w:rPr>
                <w:b/>
                <w:color w:val="FFFFFF" w:themeColor="background1"/>
                <w:sz w:val="20"/>
                <w:szCs w:val="20"/>
              </w:rPr>
              <w:t>Hypervisor</w:t>
            </w:r>
          </w:p>
        </w:tc>
        <w:tc>
          <w:tcPr>
            <w:tcW w:w="2700" w:type="dxa"/>
            <w:vMerge/>
            <w:tcBorders>
              <w:top w:val="dashed" w:sz="4" w:space="0" w:color="auto"/>
              <w:bottom w:val="dashed" w:sz="4" w:space="0" w:color="auto"/>
            </w:tcBorders>
            <w:shd w:val="clear" w:color="auto" w:fill="auto"/>
          </w:tcPr>
          <w:p w14:paraId="2CA14106" w14:textId="77777777" w:rsidR="00854F9B" w:rsidRPr="00497642" w:rsidRDefault="00854F9B" w:rsidP="0097526A">
            <w:pPr>
              <w:rPr>
                <w:i/>
                <w:sz w:val="20"/>
                <w:szCs w:val="20"/>
              </w:rPr>
            </w:pPr>
          </w:p>
        </w:tc>
      </w:tr>
      <w:tr w:rsidR="00854F9B" w:rsidRPr="001E7FC5" w14:paraId="60E1AA27" w14:textId="77777777" w:rsidTr="004C1989">
        <w:trPr>
          <w:trHeight w:val="733"/>
          <w:jc w:val="center"/>
        </w:trPr>
        <w:tc>
          <w:tcPr>
            <w:tcW w:w="2321" w:type="dxa"/>
            <w:tcBorders>
              <w:top w:val="single" w:sz="12" w:space="0" w:color="FFFFFF" w:themeColor="background1"/>
            </w:tcBorders>
            <w:shd w:val="clear" w:color="auto" w:fill="5B9BD5" w:themeFill="accent1"/>
            <w:vAlign w:val="center"/>
          </w:tcPr>
          <w:p w14:paraId="0F8FE137" w14:textId="77777777" w:rsidR="00854F9B" w:rsidRPr="001E7FC5" w:rsidRDefault="00854F9B" w:rsidP="003D1714">
            <w:pPr>
              <w:jc w:val="center"/>
              <w:rPr>
                <w:b/>
                <w:color w:val="FFFFFF" w:themeColor="background1"/>
                <w:sz w:val="20"/>
                <w:szCs w:val="20"/>
              </w:rPr>
            </w:pPr>
            <w:r>
              <w:rPr>
                <w:b/>
                <w:color w:val="FFFFFF" w:themeColor="background1"/>
                <w:sz w:val="20"/>
                <w:szCs w:val="20"/>
              </w:rPr>
              <w:t>Physical Hardware / Networking</w:t>
            </w:r>
          </w:p>
        </w:tc>
        <w:tc>
          <w:tcPr>
            <w:tcW w:w="2700" w:type="dxa"/>
            <w:vMerge/>
            <w:tcBorders>
              <w:top w:val="dashed" w:sz="4" w:space="0" w:color="auto"/>
              <w:bottom w:val="dashed" w:sz="4" w:space="0" w:color="auto"/>
            </w:tcBorders>
            <w:shd w:val="clear" w:color="auto" w:fill="auto"/>
          </w:tcPr>
          <w:p w14:paraId="1DBFC47D" w14:textId="77777777" w:rsidR="00854F9B" w:rsidRPr="00497642" w:rsidRDefault="00854F9B" w:rsidP="0097526A">
            <w:pPr>
              <w:rPr>
                <w:i/>
                <w:sz w:val="20"/>
                <w:szCs w:val="20"/>
              </w:rPr>
            </w:pPr>
          </w:p>
        </w:tc>
      </w:tr>
    </w:tbl>
    <w:p w14:paraId="4C498397" w14:textId="69ACCA31" w:rsidR="00BA61DE" w:rsidRPr="007E5839" w:rsidRDefault="00011B32" w:rsidP="00011B32">
      <w:pPr>
        <w:pStyle w:val="Caption"/>
        <w:rPr>
          <w:rFonts w:asciiTheme="minorHAnsi" w:hAnsiTheme="minorHAnsi"/>
          <w:b w:val="0"/>
          <w:bCs w:val="0"/>
          <w:sz w:val="22"/>
          <w:szCs w:val="22"/>
        </w:rPr>
      </w:pPr>
      <w:bookmarkStart w:id="11" w:name="_Ref379963575"/>
      <w:r>
        <w:t xml:space="preserve">Figure </w:t>
      </w:r>
      <w:r w:rsidR="00D512BA">
        <w:fldChar w:fldCharType="begin"/>
      </w:r>
      <w:r w:rsidR="00D512BA">
        <w:instrText xml:space="preserve"> SEQ Figure \* ARABIC </w:instrText>
      </w:r>
      <w:r w:rsidR="00D512BA">
        <w:fldChar w:fldCharType="separate"/>
      </w:r>
      <w:r w:rsidR="0080580B">
        <w:rPr>
          <w:noProof/>
        </w:rPr>
        <w:t>1</w:t>
      </w:r>
      <w:r w:rsidR="00D512BA">
        <w:rPr>
          <w:noProof/>
        </w:rPr>
        <w:fldChar w:fldCharType="end"/>
      </w:r>
      <w:r>
        <w:t xml:space="preserve">: Elements of a Virtualized </w:t>
      </w:r>
      <w:proofErr w:type="spellStart"/>
      <w:r>
        <w:t>GxP</w:t>
      </w:r>
      <w:proofErr w:type="spellEnd"/>
      <w:r>
        <w:t xml:space="preserve"> System </w:t>
      </w:r>
      <w:bookmarkEnd w:id="11"/>
    </w:p>
    <w:p w14:paraId="4AC47B42" w14:textId="77777777" w:rsidR="00993913" w:rsidRDefault="00BA61DE" w:rsidP="00B426C2">
      <w:pPr>
        <w:pStyle w:val="BodyText"/>
        <w:jc w:val="both"/>
      </w:pPr>
      <w:r>
        <w:t>Th</w:t>
      </w:r>
      <w:r w:rsidR="00FE3BC5">
        <w:t>is trend toward virtualization combined with other technologies such as web services and deploy</w:t>
      </w:r>
      <w:r w:rsidR="00FE7BC5">
        <w:t>ment/test automation to deliver</w:t>
      </w:r>
      <w:r w:rsidR="00FE3BC5">
        <w:t xml:space="preserve"> new </w:t>
      </w:r>
      <w:r>
        <w:t>capabilities</w:t>
      </w:r>
      <w:r w:rsidR="00FE3BC5">
        <w:t xml:space="preserve"> and service models</w:t>
      </w:r>
      <w:r>
        <w:t xml:space="preserve"> </w:t>
      </w:r>
      <w:r w:rsidR="00505A23">
        <w:t>are nowaday</w:t>
      </w:r>
      <w:r w:rsidR="004A5545">
        <w:t>s</w:t>
      </w:r>
      <w:r w:rsidR="008D62AD">
        <w:t xml:space="preserve"> recognize</w:t>
      </w:r>
      <w:r w:rsidR="00505A23">
        <w:t>d</w:t>
      </w:r>
      <w:r w:rsidR="008D62AD">
        <w:t xml:space="preserve"> as cloud computing.</w:t>
      </w:r>
      <w:r w:rsidR="00497642">
        <w:t xml:space="preserve">  </w:t>
      </w:r>
      <w:r w:rsidR="00FE3BC5">
        <w:t>With</w:t>
      </w:r>
      <w:r w:rsidR="005918A8">
        <w:t xml:space="preserve"> cloud-based infrastructure, </w:t>
      </w:r>
      <w:r w:rsidR="00FE3BC5">
        <w:t xml:space="preserve">this combination </w:t>
      </w:r>
      <w:r w:rsidR="008D62AD">
        <w:t>of</w:t>
      </w:r>
      <w:r w:rsidR="00FE3BC5">
        <w:t xml:space="preserve"> technologies and cloud characteristics are </w:t>
      </w:r>
      <w:r w:rsidR="005918A8">
        <w:t xml:space="preserve">used to abstract resources and controls between the self-service cloud </w:t>
      </w:r>
      <w:r w:rsidR="007037DA">
        <w:t>resources</w:t>
      </w:r>
      <w:r w:rsidR="003D1714">
        <w:t xml:space="preserve"> (IaaS, PaaS, SaaS)</w:t>
      </w:r>
      <w:r w:rsidR="005918A8">
        <w:t xml:space="preserve"> and the</w:t>
      </w:r>
      <w:r w:rsidR="00FE3BC5">
        <w:t xml:space="preserve"> underlying</w:t>
      </w:r>
      <w:r w:rsidR="005918A8">
        <w:t xml:space="preserve"> physical resources </w:t>
      </w:r>
      <w:r w:rsidR="003D1714">
        <w:t>(hardware and facility)</w:t>
      </w:r>
      <w:r w:rsidR="005918A8">
        <w:t xml:space="preserve">. </w:t>
      </w:r>
      <w:r w:rsidR="00FE3BC5">
        <w:t xml:space="preserve"> </w:t>
      </w:r>
    </w:p>
    <w:p w14:paraId="395959A7" w14:textId="77777777" w:rsidR="00E44F59" w:rsidRDefault="00E44F59" w:rsidP="00B426C2">
      <w:pPr>
        <w:pStyle w:val="BodyText"/>
        <w:jc w:val="both"/>
      </w:pPr>
    </w:p>
    <w:p w14:paraId="33D13CED" w14:textId="344B313C" w:rsidR="00E44F59" w:rsidRDefault="00E44F59" w:rsidP="00B426C2">
      <w:pPr>
        <w:pStyle w:val="BodyText"/>
        <w:jc w:val="both"/>
      </w:pPr>
      <w:r>
        <w:rPr>
          <w:noProof/>
        </w:rPr>
        <mc:AlternateContent>
          <mc:Choice Requires="wps">
            <w:drawing>
              <wp:inline distT="0" distB="0" distL="0" distR="0" wp14:anchorId="43AC8E75" wp14:editId="24693551">
                <wp:extent cx="5692775" cy="2958860"/>
                <wp:effectExtent l="0" t="0" r="22225" b="13335"/>
                <wp:docPr id="36" name="Text Box 36"/>
                <wp:cNvGraphicFramePr/>
                <a:graphic xmlns:a="http://schemas.openxmlformats.org/drawingml/2006/main">
                  <a:graphicData uri="http://schemas.microsoft.com/office/word/2010/wordprocessingShape">
                    <wps:wsp>
                      <wps:cNvSpPr txBox="1"/>
                      <wps:spPr>
                        <a:xfrm>
                          <a:off x="0" y="0"/>
                          <a:ext cx="5692775" cy="295886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A445211" w14:textId="77777777" w:rsidR="00FA39D6" w:rsidRPr="00E44F59" w:rsidRDefault="00FA39D6" w:rsidP="00E44F59">
                            <w:pPr>
                              <w:pStyle w:val="ListNumber"/>
                              <w:numPr>
                                <w:ilvl w:val="0"/>
                                <w:numId w:val="0"/>
                              </w:numPr>
                              <w:ind w:left="360" w:hanging="360"/>
                              <w:jc w:val="both"/>
                              <w:rPr>
                                <w:b/>
                                <w:i/>
                                <w:color w:val="2E74B5" w:themeColor="accent1" w:themeShade="BF"/>
                              </w:rPr>
                            </w:pPr>
                            <w:r w:rsidRPr="00E44F59">
                              <w:rPr>
                                <w:b/>
                                <w:i/>
                                <w:color w:val="2E74B5" w:themeColor="accent1" w:themeShade="BF"/>
                              </w:rPr>
                              <w:t>What is the difference between a Virtual Private Cloud and a Public cloud, and who is accountable for the security in an externally hosted cloud environment?</w:t>
                            </w:r>
                          </w:p>
                          <w:p w14:paraId="4A0D1843" w14:textId="77777777" w:rsidR="00FA39D6" w:rsidRPr="00E44F59" w:rsidRDefault="00FA39D6" w:rsidP="00E44F59">
                            <w:pPr>
                              <w:pStyle w:val="ListNumber"/>
                              <w:numPr>
                                <w:ilvl w:val="0"/>
                                <w:numId w:val="0"/>
                              </w:numPr>
                              <w:jc w:val="both"/>
                              <w:rPr>
                                <w:i/>
                                <w:color w:val="2E74B5" w:themeColor="accent1" w:themeShade="BF"/>
                              </w:rPr>
                            </w:pPr>
                            <w:r w:rsidRPr="00E44F59">
                              <w:rPr>
                                <w:i/>
                                <w:color w:val="2E74B5" w:themeColor="accent1" w:themeShade="BF"/>
                              </w:rPr>
                              <w:t>A Virtual Private Cloud allows the configuration of a logically private cloud enabling “closed system” segregation for an organization in a Public Cloud provider’s environment.</w:t>
                            </w:r>
                          </w:p>
                          <w:p w14:paraId="7368A41E" w14:textId="77777777" w:rsidR="00FA39D6" w:rsidRPr="00E44F59" w:rsidRDefault="00FA39D6" w:rsidP="00E44F59">
                            <w:pPr>
                              <w:pStyle w:val="ListNumber"/>
                              <w:numPr>
                                <w:ilvl w:val="0"/>
                                <w:numId w:val="0"/>
                              </w:numPr>
                              <w:jc w:val="both"/>
                              <w:rPr>
                                <w:i/>
                                <w:color w:val="2E74B5" w:themeColor="accent1" w:themeShade="BF"/>
                              </w:rPr>
                            </w:pPr>
                            <w:r w:rsidRPr="00E44F59">
                              <w:rPr>
                                <w:i/>
                                <w:color w:val="2E74B5" w:themeColor="accent1" w:themeShade="BF"/>
                              </w:rPr>
                              <w:t>Security in the cloud can be viewed similarly as Data Integrity controls. Consider:</w:t>
                            </w:r>
                          </w:p>
                          <w:p w14:paraId="106D14AD" w14:textId="77777777" w:rsidR="00FA39D6" w:rsidRPr="00E44F59" w:rsidRDefault="00FA39D6" w:rsidP="00E44F59">
                            <w:pPr>
                              <w:pStyle w:val="ListNumber"/>
                              <w:numPr>
                                <w:ilvl w:val="0"/>
                                <w:numId w:val="37"/>
                              </w:numPr>
                              <w:jc w:val="both"/>
                              <w:rPr>
                                <w:i/>
                                <w:color w:val="2E74B5" w:themeColor="accent1" w:themeShade="BF"/>
                              </w:rPr>
                            </w:pPr>
                            <w:r w:rsidRPr="00E44F59">
                              <w:rPr>
                                <w:i/>
                                <w:color w:val="2E74B5" w:themeColor="accent1" w:themeShade="BF"/>
                              </w:rPr>
                              <w:t>Security controls for external use should be no different than those applied for internally hosted systems.</w:t>
                            </w:r>
                          </w:p>
                          <w:p w14:paraId="43BEFB67" w14:textId="77777777" w:rsidR="00FA39D6" w:rsidRPr="00E44F59" w:rsidRDefault="00FA39D6" w:rsidP="00E44F59">
                            <w:pPr>
                              <w:pStyle w:val="ListNumber"/>
                              <w:numPr>
                                <w:ilvl w:val="0"/>
                                <w:numId w:val="37"/>
                              </w:numPr>
                              <w:jc w:val="both"/>
                              <w:rPr>
                                <w:i/>
                                <w:color w:val="2E74B5" w:themeColor="accent1" w:themeShade="BF"/>
                              </w:rPr>
                            </w:pPr>
                            <w:r w:rsidRPr="00E44F59">
                              <w:rPr>
                                <w:i/>
                                <w:color w:val="2E74B5" w:themeColor="accent1" w:themeShade="BF"/>
                              </w:rPr>
                              <w:t>The customer owns the assessment of the cloud provider for appropriate security controls for the desired use cases, and ensuring customer’s security standards are met.</w:t>
                            </w:r>
                          </w:p>
                          <w:p w14:paraId="10BF6DFF" w14:textId="77777777" w:rsidR="00FA39D6" w:rsidRPr="00E44F59" w:rsidRDefault="00FA39D6" w:rsidP="00E44F59">
                            <w:pPr>
                              <w:pStyle w:val="ListNumber"/>
                              <w:numPr>
                                <w:ilvl w:val="0"/>
                                <w:numId w:val="37"/>
                              </w:numPr>
                              <w:jc w:val="both"/>
                              <w:rPr>
                                <w:i/>
                                <w:color w:val="2E74B5" w:themeColor="accent1" w:themeShade="BF"/>
                              </w:rPr>
                            </w:pPr>
                            <w:r w:rsidRPr="00E44F59">
                              <w:rPr>
                                <w:i/>
                                <w:color w:val="2E74B5" w:themeColor="accent1" w:themeShade="BF"/>
                              </w:rPr>
                              <w:t>Ongoing monitoring of environments deployed at a cloud provider to ensure policy enforcement, as well as supplier monitoring of their controls should be performed.</w:t>
                            </w:r>
                          </w:p>
                          <w:p w14:paraId="4C1B955C" w14:textId="612E092E" w:rsidR="00FA39D6" w:rsidRPr="009B4C6B" w:rsidRDefault="00FA39D6" w:rsidP="00E44F59">
                            <w:pPr>
                              <w:pStyle w:val="ListNumber"/>
                              <w:numPr>
                                <w:ilvl w:val="0"/>
                                <w:numId w:val="0"/>
                              </w:numPr>
                              <w:jc w:val="both"/>
                              <w:rPr>
                                <w:i/>
                                <w:color w:val="2E74B5" w:themeColor="accent1" w:themeShade="BF"/>
                              </w:rPr>
                            </w:pPr>
                            <w:r w:rsidRPr="00E44F59">
                              <w:rPr>
                                <w:i/>
                                <w:color w:val="2E74B5" w:themeColor="accent1" w:themeShade="BF"/>
                              </w:rPr>
                              <w:t>For more on contractual considerations, see sect</w:t>
                            </w:r>
                            <w:r>
                              <w:rPr>
                                <w:i/>
                                <w:color w:val="2E74B5" w:themeColor="accent1" w:themeShade="BF"/>
                              </w:rPr>
                              <w:t xml:space="preserve">ions </w:t>
                            </w:r>
                            <w:r>
                              <w:rPr>
                                <w:i/>
                                <w:color w:val="2E74B5" w:themeColor="accent1" w:themeShade="BF"/>
                              </w:rPr>
                              <w:fldChar w:fldCharType="begin"/>
                            </w:r>
                            <w:r>
                              <w:rPr>
                                <w:i/>
                                <w:color w:val="2E74B5" w:themeColor="accent1" w:themeShade="BF"/>
                              </w:rPr>
                              <w:instrText xml:space="preserve"> REF _Ref3285284 \r \h </w:instrText>
                            </w:r>
                            <w:r>
                              <w:rPr>
                                <w:i/>
                                <w:color w:val="2E74B5" w:themeColor="accent1" w:themeShade="BF"/>
                              </w:rPr>
                            </w:r>
                            <w:r>
                              <w:rPr>
                                <w:i/>
                                <w:color w:val="2E74B5" w:themeColor="accent1" w:themeShade="BF"/>
                              </w:rPr>
                              <w:fldChar w:fldCharType="separate"/>
                            </w:r>
                            <w:r>
                              <w:rPr>
                                <w:i/>
                                <w:color w:val="2E74B5" w:themeColor="accent1" w:themeShade="BF"/>
                              </w:rPr>
                              <w:t>4.1.1</w:t>
                            </w:r>
                            <w:r>
                              <w:rPr>
                                <w:i/>
                                <w:color w:val="2E74B5" w:themeColor="accent1" w:themeShade="BF"/>
                              </w:rPr>
                              <w:fldChar w:fldCharType="end"/>
                            </w:r>
                            <w:r>
                              <w:rPr>
                                <w:i/>
                                <w:color w:val="2E74B5" w:themeColor="accent1" w:themeShade="BF"/>
                              </w:rPr>
                              <w:t xml:space="preserve">, </w:t>
                            </w:r>
                            <w:r>
                              <w:rPr>
                                <w:i/>
                                <w:color w:val="2E74B5" w:themeColor="accent1" w:themeShade="BF"/>
                              </w:rPr>
                              <w:fldChar w:fldCharType="begin"/>
                            </w:r>
                            <w:r>
                              <w:rPr>
                                <w:i/>
                                <w:color w:val="2E74B5" w:themeColor="accent1" w:themeShade="BF"/>
                              </w:rPr>
                              <w:instrText xml:space="preserve"> REF _Ref3285292 \r \h </w:instrText>
                            </w:r>
                            <w:r>
                              <w:rPr>
                                <w:i/>
                                <w:color w:val="2E74B5" w:themeColor="accent1" w:themeShade="BF"/>
                              </w:rPr>
                            </w:r>
                            <w:r>
                              <w:rPr>
                                <w:i/>
                                <w:color w:val="2E74B5" w:themeColor="accent1" w:themeShade="BF"/>
                              </w:rPr>
                              <w:fldChar w:fldCharType="separate"/>
                            </w:r>
                            <w:r>
                              <w:rPr>
                                <w:i/>
                                <w:color w:val="2E74B5" w:themeColor="accent1" w:themeShade="BF"/>
                              </w:rPr>
                              <w:t>4.1.2</w:t>
                            </w:r>
                            <w:r>
                              <w:rPr>
                                <w:i/>
                                <w:color w:val="2E74B5" w:themeColor="accent1" w:themeShade="BF"/>
                              </w:rPr>
                              <w:fldChar w:fldCharType="end"/>
                            </w:r>
                            <w:r>
                              <w:rPr>
                                <w:i/>
                                <w:color w:val="2E74B5" w:themeColor="accent1" w:themeShade="BF"/>
                              </w:rPr>
                              <w:t xml:space="preserve"> and </w:t>
                            </w:r>
                            <w:r>
                              <w:rPr>
                                <w:i/>
                                <w:color w:val="2E74B5" w:themeColor="accent1" w:themeShade="BF"/>
                              </w:rPr>
                              <w:fldChar w:fldCharType="begin"/>
                            </w:r>
                            <w:r>
                              <w:rPr>
                                <w:i/>
                                <w:color w:val="2E74B5" w:themeColor="accent1" w:themeShade="BF"/>
                              </w:rPr>
                              <w:instrText xml:space="preserve"> REF _Ref3285298 \r \h </w:instrText>
                            </w:r>
                            <w:r>
                              <w:rPr>
                                <w:i/>
                                <w:color w:val="2E74B5" w:themeColor="accent1" w:themeShade="BF"/>
                              </w:rPr>
                            </w:r>
                            <w:r>
                              <w:rPr>
                                <w:i/>
                                <w:color w:val="2E74B5" w:themeColor="accent1" w:themeShade="BF"/>
                              </w:rPr>
                              <w:fldChar w:fldCharType="separate"/>
                            </w:r>
                            <w:r>
                              <w:rPr>
                                <w:i/>
                                <w:color w:val="2E74B5" w:themeColor="accent1" w:themeShade="BF"/>
                              </w:rPr>
                              <w:t>4.1.3</w:t>
                            </w:r>
                            <w:r>
                              <w:rPr>
                                <w:i/>
                                <w:color w:val="2E74B5" w:themeColor="accent1" w:themeShade="B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AC8E75" id="Text Box 36" o:spid="_x0000_s1027" type="#_x0000_t202" style="width:448.25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" filled="f" strokecolor="#5b9bd5 [3204]">
                <v:textbox>
                  <w:txbxContent>
                    <w:p w14:paraId="1A445211" w14:textId="77777777" w:rsidR="00FA39D6" w:rsidRPr="00E44F59" w:rsidRDefault="00FA39D6" w:rsidP="00E44F59">
                      <w:pPr>
                        <w:pStyle w:val="ListNumber"/>
                        <w:numPr>
                          <w:ilvl w:val="0"/>
                          <w:numId w:val="0"/>
                        </w:numPr>
                        <w:ind w:left="360" w:hanging="360"/>
                        <w:jc w:val="both"/>
                        <w:rPr>
                          <w:b/>
                          <w:i/>
                          <w:color w:val="2E74B5" w:themeColor="accent1" w:themeShade="BF"/>
                        </w:rPr>
                      </w:pPr>
                      <w:r w:rsidRPr="00E44F59">
                        <w:rPr>
                          <w:b/>
                          <w:i/>
                          <w:color w:val="2E74B5" w:themeColor="accent1" w:themeShade="BF"/>
                        </w:rPr>
                        <w:t>What is the difference between a Virtual Private Cloud and a Public cloud, and who is accountable for the security in an externally hosted cloud environment?</w:t>
                      </w:r>
                    </w:p>
                    <w:p w14:paraId="4A0D1843" w14:textId="77777777" w:rsidR="00FA39D6" w:rsidRPr="00E44F59" w:rsidRDefault="00FA39D6" w:rsidP="00E44F59">
                      <w:pPr>
                        <w:pStyle w:val="ListNumber"/>
                        <w:numPr>
                          <w:ilvl w:val="0"/>
                          <w:numId w:val="0"/>
                        </w:numPr>
                        <w:jc w:val="both"/>
                        <w:rPr>
                          <w:i/>
                          <w:color w:val="2E74B5" w:themeColor="accent1" w:themeShade="BF"/>
                        </w:rPr>
                      </w:pPr>
                      <w:r w:rsidRPr="00E44F59">
                        <w:rPr>
                          <w:i/>
                          <w:color w:val="2E74B5" w:themeColor="accent1" w:themeShade="BF"/>
                        </w:rPr>
                        <w:t>A Virtual Private Cloud allows the configuration of a logically private cloud enabling “closed system” segregation for an organization in a Public Cloud provider’s environment.</w:t>
                      </w:r>
                    </w:p>
                    <w:p w14:paraId="7368A41E" w14:textId="77777777" w:rsidR="00FA39D6" w:rsidRPr="00E44F59" w:rsidRDefault="00FA39D6" w:rsidP="00E44F59">
                      <w:pPr>
                        <w:pStyle w:val="ListNumber"/>
                        <w:numPr>
                          <w:ilvl w:val="0"/>
                          <w:numId w:val="0"/>
                        </w:numPr>
                        <w:jc w:val="both"/>
                        <w:rPr>
                          <w:i/>
                          <w:color w:val="2E74B5" w:themeColor="accent1" w:themeShade="BF"/>
                        </w:rPr>
                      </w:pPr>
                      <w:r w:rsidRPr="00E44F59">
                        <w:rPr>
                          <w:i/>
                          <w:color w:val="2E74B5" w:themeColor="accent1" w:themeShade="BF"/>
                        </w:rPr>
                        <w:t>Security in the cloud can be viewed similarly as Data Integrity controls. Consider:</w:t>
                      </w:r>
                    </w:p>
                    <w:p w14:paraId="106D14AD" w14:textId="77777777" w:rsidR="00FA39D6" w:rsidRPr="00E44F59" w:rsidRDefault="00FA39D6" w:rsidP="00E44F59">
                      <w:pPr>
                        <w:pStyle w:val="ListNumber"/>
                        <w:numPr>
                          <w:ilvl w:val="0"/>
                          <w:numId w:val="37"/>
                        </w:numPr>
                        <w:jc w:val="both"/>
                        <w:rPr>
                          <w:i/>
                          <w:color w:val="2E74B5" w:themeColor="accent1" w:themeShade="BF"/>
                        </w:rPr>
                      </w:pPr>
                      <w:r w:rsidRPr="00E44F59">
                        <w:rPr>
                          <w:i/>
                          <w:color w:val="2E74B5" w:themeColor="accent1" w:themeShade="BF"/>
                        </w:rPr>
                        <w:t>Security controls for external use should be no different than those applied for internally hosted systems.</w:t>
                      </w:r>
                    </w:p>
                    <w:p w14:paraId="43BEFB67" w14:textId="77777777" w:rsidR="00FA39D6" w:rsidRPr="00E44F59" w:rsidRDefault="00FA39D6" w:rsidP="00E44F59">
                      <w:pPr>
                        <w:pStyle w:val="ListNumber"/>
                        <w:numPr>
                          <w:ilvl w:val="0"/>
                          <w:numId w:val="37"/>
                        </w:numPr>
                        <w:jc w:val="both"/>
                        <w:rPr>
                          <w:i/>
                          <w:color w:val="2E74B5" w:themeColor="accent1" w:themeShade="BF"/>
                        </w:rPr>
                      </w:pPr>
                      <w:r w:rsidRPr="00E44F59">
                        <w:rPr>
                          <w:i/>
                          <w:color w:val="2E74B5" w:themeColor="accent1" w:themeShade="BF"/>
                        </w:rPr>
                        <w:t>The customer owns the assessment of the cloud provider for appropriate security controls for the desired use cases, and ensuring customer’s security standards are met.</w:t>
                      </w:r>
                    </w:p>
                    <w:p w14:paraId="10BF6DFF" w14:textId="77777777" w:rsidR="00FA39D6" w:rsidRPr="00E44F59" w:rsidRDefault="00FA39D6" w:rsidP="00E44F59">
                      <w:pPr>
                        <w:pStyle w:val="ListNumber"/>
                        <w:numPr>
                          <w:ilvl w:val="0"/>
                          <w:numId w:val="37"/>
                        </w:numPr>
                        <w:jc w:val="both"/>
                        <w:rPr>
                          <w:i/>
                          <w:color w:val="2E74B5" w:themeColor="accent1" w:themeShade="BF"/>
                        </w:rPr>
                      </w:pPr>
                      <w:r w:rsidRPr="00E44F59">
                        <w:rPr>
                          <w:i/>
                          <w:color w:val="2E74B5" w:themeColor="accent1" w:themeShade="BF"/>
                        </w:rPr>
                        <w:t>Ongoing monitoring of environments deployed at a cloud provider to ensure policy enforcement, as well as supplier monitoring of their controls should be performed.</w:t>
                      </w:r>
                    </w:p>
                    <w:p w14:paraId="4C1B955C" w14:textId="612E092E" w:rsidR="00FA39D6" w:rsidRPr="009B4C6B" w:rsidRDefault="00FA39D6" w:rsidP="00E44F59">
                      <w:pPr>
                        <w:pStyle w:val="ListNumber"/>
                        <w:numPr>
                          <w:ilvl w:val="0"/>
                          <w:numId w:val="0"/>
                        </w:numPr>
                        <w:jc w:val="both"/>
                        <w:rPr>
                          <w:i/>
                          <w:color w:val="2E74B5" w:themeColor="accent1" w:themeShade="BF"/>
                        </w:rPr>
                      </w:pPr>
                      <w:r w:rsidRPr="00E44F59">
                        <w:rPr>
                          <w:i/>
                          <w:color w:val="2E74B5" w:themeColor="accent1" w:themeShade="BF"/>
                        </w:rPr>
                        <w:t>For more on contractual considerations, see sect</w:t>
                      </w:r>
                      <w:r>
                        <w:rPr>
                          <w:i/>
                          <w:color w:val="2E74B5" w:themeColor="accent1" w:themeShade="BF"/>
                        </w:rPr>
                        <w:t xml:space="preserve">ions </w:t>
                      </w:r>
                      <w:r>
                        <w:rPr>
                          <w:i/>
                          <w:color w:val="2E74B5" w:themeColor="accent1" w:themeShade="BF"/>
                        </w:rPr>
                        <w:fldChar w:fldCharType="begin"/>
                      </w:r>
                      <w:r>
                        <w:rPr>
                          <w:i/>
                          <w:color w:val="2E74B5" w:themeColor="accent1" w:themeShade="BF"/>
                        </w:rPr>
                        <w:instrText xml:space="preserve"> REF _Ref3285284 \r \h </w:instrText>
                      </w:r>
                      <w:r>
                        <w:rPr>
                          <w:i/>
                          <w:color w:val="2E74B5" w:themeColor="accent1" w:themeShade="BF"/>
                        </w:rPr>
                      </w:r>
                      <w:r>
                        <w:rPr>
                          <w:i/>
                          <w:color w:val="2E74B5" w:themeColor="accent1" w:themeShade="BF"/>
                        </w:rPr>
                        <w:fldChar w:fldCharType="separate"/>
                      </w:r>
                      <w:r>
                        <w:rPr>
                          <w:i/>
                          <w:color w:val="2E74B5" w:themeColor="accent1" w:themeShade="BF"/>
                        </w:rPr>
                        <w:t>4.1.1</w:t>
                      </w:r>
                      <w:r>
                        <w:rPr>
                          <w:i/>
                          <w:color w:val="2E74B5" w:themeColor="accent1" w:themeShade="BF"/>
                        </w:rPr>
                        <w:fldChar w:fldCharType="end"/>
                      </w:r>
                      <w:r>
                        <w:rPr>
                          <w:i/>
                          <w:color w:val="2E74B5" w:themeColor="accent1" w:themeShade="BF"/>
                        </w:rPr>
                        <w:t xml:space="preserve">, </w:t>
                      </w:r>
                      <w:r>
                        <w:rPr>
                          <w:i/>
                          <w:color w:val="2E74B5" w:themeColor="accent1" w:themeShade="BF"/>
                        </w:rPr>
                        <w:fldChar w:fldCharType="begin"/>
                      </w:r>
                      <w:r>
                        <w:rPr>
                          <w:i/>
                          <w:color w:val="2E74B5" w:themeColor="accent1" w:themeShade="BF"/>
                        </w:rPr>
                        <w:instrText xml:space="preserve"> REF _Ref3285292 \r \h </w:instrText>
                      </w:r>
                      <w:r>
                        <w:rPr>
                          <w:i/>
                          <w:color w:val="2E74B5" w:themeColor="accent1" w:themeShade="BF"/>
                        </w:rPr>
                      </w:r>
                      <w:r>
                        <w:rPr>
                          <w:i/>
                          <w:color w:val="2E74B5" w:themeColor="accent1" w:themeShade="BF"/>
                        </w:rPr>
                        <w:fldChar w:fldCharType="separate"/>
                      </w:r>
                      <w:r>
                        <w:rPr>
                          <w:i/>
                          <w:color w:val="2E74B5" w:themeColor="accent1" w:themeShade="BF"/>
                        </w:rPr>
                        <w:t>4.1.2</w:t>
                      </w:r>
                      <w:r>
                        <w:rPr>
                          <w:i/>
                          <w:color w:val="2E74B5" w:themeColor="accent1" w:themeShade="BF"/>
                        </w:rPr>
                        <w:fldChar w:fldCharType="end"/>
                      </w:r>
                      <w:r>
                        <w:rPr>
                          <w:i/>
                          <w:color w:val="2E74B5" w:themeColor="accent1" w:themeShade="BF"/>
                        </w:rPr>
                        <w:t xml:space="preserve"> and </w:t>
                      </w:r>
                      <w:r>
                        <w:rPr>
                          <w:i/>
                          <w:color w:val="2E74B5" w:themeColor="accent1" w:themeShade="BF"/>
                        </w:rPr>
                        <w:fldChar w:fldCharType="begin"/>
                      </w:r>
                      <w:r>
                        <w:rPr>
                          <w:i/>
                          <w:color w:val="2E74B5" w:themeColor="accent1" w:themeShade="BF"/>
                        </w:rPr>
                        <w:instrText xml:space="preserve"> REF _Ref3285298 \r \h </w:instrText>
                      </w:r>
                      <w:r>
                        <w:rPr>
                          <w:i/>
                          <w:color w:val="2E74B5" w:themeColor="accent1" w:themeShade="BF"/>
                        </w:rPr>
                      </w:r>
                      <w:r>
                        <w:rPr>
                          <w:i/>
                          <w:color w:val="2E74B5" w:themeColor="accent1" w:themeShade="BF"/>
                        </w:rPr>
                        <w:fldChar w:fldCharType="separate"/>
                      </w:r>
                      <w:r>
                        <w:rPr>
                          <w:i/>
                          <w:color w:val="2E74B5" w:themeColor="accent1" w:themeShade="BF"/>
                        </w:rPr>
                        <w:t>4.1.3</w:t>
                      </w:r>
                      <w:r>
                        <w:rPr>
                          <w:i/>
                          <w:color w:val="2E74B5" w:themeColor="accent1" w:themeShade="BF"/>
                        </w:rPr>
                        <w:fldChar w:fldCharType="end"/>
                      </w:r>
                    </w:p>
                  </w:txbxContent>
                </v:textbox>
                <w10:anchorlock/>
              </v:shape>
            </w:pict>
          </mc:Fallback>
        </mc:AlternateContent>
      </w:r>
    </w:p>
    <w:p w14:paraId="6A8C0B15" w14:textId="6EB96638" w:rsidR="00993913" w:rsidRDefault="00993913" w:rsidP="00B426C2">
      <w:pPr>
        <w:pStyle w:val="BodyText"/>
        <w:jc w:val="both"/>
      </w:pPr>
      <w:r>
        <w:rPr>
          <w:noProof/>
        </w:rPr>
        <mc:AlternateContent>
          <mc:Choice Requires="wps">
            <w:drawing>
              <wp:inline distT="0" distB="0" distL="0" distR="0" wp14:anchorId="4EEFE740" wp14:editId="648771F7">
                <wp:extent cx="5692775" cy="2889250"/>
                <wp:effectExtent l="0" t="0" r="22225" b="25400"/>
                <wp:docPr id="32" name="Text Box 32"/>
                <wp:cNvGraphicFramePr/>
                <a:graphic xmlns:a="http://schemas.openxmlformats.org/drawingml/2006/main">
                  <a:graphicData uri="http://schemas.microsoft.com/office/word/2010/wordprocessingShape">
                    <wps:wsp>
                      <wps:cNvSpPr txBox="1"/>
                      <wps:spPr>
                        <a:xfrm>
                          <a:off x="0" y="0"/>
                          <a:ext cx="5692775" cy="288925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184F7B7" w14:textId="77777777" w:rsidR="00FA39D6" w:rsidRPr="00993913" w:rsidRDefault="00FA39D6" w:rsidP="00993913">
                            <w:pPr>
                              <w:pStyle w:val="ListNumber"/>
                              <w:numPr>
                                <w:ilvl w:val="0"/>
                                <w:numId w:val="0"/>
                              </w:numPr>
                              <w:jc w:val="both"/>
                              <w:rPr>
                                <w:b/>
                                <w:i/>
                                <w:color w:val="2E74B5" w:themeColor="accent1" w:themeShade="BF"/>
                              </w:rPr>
                            </w:pPr>
                            <w:r w:rsidRPr="00993913">
                              <w:rPr>
                                <w:b/>
                                <w:i/>
                                <w:color w:val="2E74B5" w:themeColor="accent1" w:themeShade="BF"/>
                              </w:rPr>
                              <w:t xml:space="preserve">Our IT department is looking to adopt external IaaS cloud partners as part of a new Data Center strategy. What steps to take to understand feasibility? </w:t>
                            </w:r>
                          </w:p>
                          <w:p w14:paraId="351FD8A2" w14:textId="77777777" w:rsidR="00FA39D6" w:rsidRPr="00993913" w:rsidRDefault="00FA39D6" w:rsidP="00993913">
                            <w:pPr>
                              <w:pStyle w:val="ListNumber"/>
                              <w:numPr>
                                <w:ilvl w:val="0"/>
                                <w:numId w:val="0"/>
                              </w:numPr>
                              <w:jc w:val="both"/>
                              <w:rPr>
                                <w:i/>
                                <w:color w:val="2E74B5" w:themeColor="accent1" w:themeShade="BF"/>
                              </w:rPr>
                            </w:pPr>
                            <w:r w:rsidRPr="00993913">
                              <w:rPr>
                                <w:i/>
                                <w:color w:val="2E74B5" w:themeColor="accent1" w:themeShade="BF"/>
                              </w:rPr>
                              <w:t>Establishment of a “Cloud Strategy” is critical to understanding requirements. Will you pursue Public Cloud? Is the company more comfortable with an in-house Private Cloud?  Perhaps a hybrid solution for maximum flexibility? Regardless of the direction, the strategy must be championed by senior leadership with a clear desired end-state communicated.</w:t>
                            </w:r>
                          </w:p>
                          <w:p w14:paraId="21C69EB0" w14:textId="00C51C7F" w:rsidR="00FA39D6" w:rsidRPr="00993913" w:rsidRDefault="00FA39D6" w:rsidP="00993913">
                            <w:pPr>
                              <w:pStyle w:val="ListNumber"/>
                              <w:numPr>
                                <w:ilvl w:val="0"/>
                                <w:numId w:val="0"/>
                              </w:numPr>
                              <w:jc w:val="both"/>
                              <w:rPr>
                                <w:i/>
                                <w:color w:val="2E74B5" w:themeColor="accent1" w:themeShade="BF"/>
                              </w:rPr>
                            </w:pPr>
                            <w:r w:rsidRPr="00993913">
                              <w:rPr>
                                <w:i/>
                                <w:color w:val="2E74B5" w:themeColor="accent1" w:themeShade="BF"/>
                              </w:rPr>
                              <w:t xml:space="preserve">No matter the model, a critical component </w:t>
                            </w:r>
                            <w:r w:rsidRPr="00600757">
                              <w:rPr>
                                <w:i/>
                                <w:color w:val="2E74B5" w:themeColor="accent1" w:themeShade="BF"/>
                              </w:rPr>
                              <w:t>to success is the deployment and adoption of Agile/DevOps tools and automation. This is a significant shift in IT infrastructure processes, and usually disruptive to legacy organization/resources.</w:t>
                            </w:r>
                            <w:r w:rsidR="00A71BE9" w:rsidRPr="00600757">
                              <w:rPr>
                                <w:i/>
                                <w:color w:val="2E74B5" w:themeColor="accent1" w:themeShade="BF"/>
                              </w:rPr>
                              <w:t xml:space="preserve"> Given the increased adoption by Life Sciences, this has become a requirement for cost effectiveness and efficiency. This should include adoption of Continuous I</w:t>
                            </w:r>
                            <w:r w:rsidR="00652EA8" w:rsidRPr="00600757">
                              <w:rPr>
                                <w:i/>
                                <w:color w:val="2E74B5" w:themeColor="accent1" w:themeShade="BF"/>
                              </w:rPr>
                              <w:t>ntegration/</w:t>
                            </w:r>
                            <w:r w:rsidR="00A71BE9" w:rsidRPr="00600757">
                              <w:rPr>
                                <w:i/>
                                <w:color w:val="2E74B5" w:themeColor="accent1" w:themeShade="BF"/>
                              </w:rPr>
                              <w:t xml:space="preserve">Continuous </w:t>
                            </w:r>
                            <w:r w:rsidR="00652EA8" w:rsidRPr="00600757">
                              <w:rPr>
                                <w:i/>
                                <w:color w:val="2E74B5" w:themeColor="accent1" w:themeShade="BF"/>
                              </w:rPr>
                              <w:t>Delivery (CI/CD).</w:t>
                            </w:r>
                            <w:r w:rsidRPr="00600757">
                              <w:rPr>
                                <w:i/>
                                <w:color w:val="2E74B5" w:themeColor="accent1" w:themeShade="BF"/>
                              </w:rPr>
                              <w:t xml:space="preserve"> An organization assessment for necessary skills is highly recommended and likely result in sourcing</w:t>
                            </w:r>
                            <w:r w:rsidRPr="00993913">
                              <w:rPr>
                                <w:i/>
                                <w:color w:val="2E74B5" w:themeColor="accent1" w:themeShade="BF"/>
                              </w:rPr>
                              <w:t xml:space="preserve"> skills/organizational changes. Skills requirements are not limited to </w:t>
                            </w:r>
                            <w:r w:rsidR="00600757" w:rsidRPr="00993913">
                              <w:rPr>
                                <w:i/>
                                <w:color w:val="2E74B5" w:themeColor="accent1" w:themeShade="BF"/>
                              </w:rPr>
                              <w:t>IT but</w:t>
                            </w:r>
                            <w:r w:rsidRPr="00993913">
                              <w:rPr>
                                <w:i/>
                                <w:color w:val="2E74B5" w:themeColor="accent1" w:themeShade="BF"/>
                              </w:rPr>
                              <w:t xml:space="preserve"> will also require the appropriate IT Security and IT/QA Compliance resources.</w:t>
                            </w:r>
                          </w:p>
                          <w:p w14:paraId="3A394969" w14:textId="1CB85DA3" w:rsidR="00FA39D6" w:rsidRPr="009B4C6B" w:rsidRDefault="00FA39D6" w:rsidP="00993913">
                            <w:pPr>
                              <w:pStyle w:val="ListNumber"/>
                              <w:numPr>
                                <w:ilvl w:val="0"/>
                                <w:numId w:val="0"/>
                              </w:numPr>
                              <w:jc w:val="both"/>
                              <w:rPr>
                                <w:i/>
                                <w:color w:val="2E74B5" w:themeColor="accent1" w:themeShade="BF"/>
                              </w:rPr>
                            </w:pPr>
                            <w:r w:rsidRPr="00993913">
                              <w:rPr>
                                <w:i/>
                                <w:color w:val="2E74B5" w:themeColor="accent1" w:themeShade="BF"/>
                              </w:rPr>
                              <w:t xml:space="preserve">For more on contractual considerations, see section </w:t>
                            </w:r>
                            <w:r>
                              <w:rPr>
                                <w:i/>
                                <w:color w:val="2E74B5" w:themeColor="accent1" w:themeShade="BF"/>
                              </w:rPr>
                              <w:fldChar w:fldCharType="begin"/>
                            </w:r>
                            <w:r>
                              <w:rPr>
                                <w:i/>
                                <w:color w:val="2E74B5" w:themeColor="accent1" w:themeShade="BF"/>
                              </w:rPr>
                              <w:instrText xml:space="preserve"> REF _Ref3283734 \r \h </w:instrText>
                            </w:r>
                            <w:r>
                              <w:rPr>
                                <w:i/>
                                <w:color w:val="2E74B5" w:themeColor="accent1" w:themeShade="BF"/>
                              </w:rPr>
                            </w:r>
                            <w:r>
                              <w:rPr>
                                <w:i/>
                                <w:color w:val="2E74B5" w:themeColor="accent1" w:themeShade="BF"/>
                              </w:rPr>
                              <w:fldChar w:fldCharType="separate"/>
                            </w:r>
                            <w:r>
                              <w:rPr>
                                <w:i/>
                                <w:color w:val="2E74B5" w:themeColor="accent1" w:themeShade="BF"/>
                              </w:rPr>
                              <w:t>4</w:t>
                            </w:r>
                            <w:r>
                              <w:rPr>
                                <w:i/>
                                <w:color w:val="2E74B5" w:themeColor="accent1" w:themeShade="BF"/>
                              </w:rPr>
                              <w:fldChar w:fldCharType="end"/>
                            </w:r>
                            <w:r w:rsidRPr="00993913">
                              <w:rPr>
                                <w:i/>
                                <w:color w:val="2E74B5" w:themeColor="accent1" w:themeShade="BF"/>
                              </w:rPr>
                              <w:t xml:space="preserve"> of the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EEFE740" id="Text Box 32" o:spid="_x0000_s1028" type="#_x0000_t202" style="width:448.25pt;height: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" filled="f" strokecolor="#5b9bd5 [3204]">
                <v:textbox>
                  <w:txbxContent>
                    <w:p w14:paraId="1184F7B7" w14:textId="77777777" w:rsidR="00FA39D6" w:rsidRPr="00993913" w:rsidRDefault="00FA39D6" w:rsidP="00993913">
                      <w:pPr>
                        <w:pStyle w:val="ListNumber"/>
                        <w:numPr>
                          <w:ilvl w:val="0"/>
                          <w:numId w:val="0"/>
                        </w:numPr>
                        <w:jc w:val="both"/>
                        <w:rPr>
                          <w:b/>
                          <w:i/>
                          <w:color w:val="2E74B5" w:themeColor="accent1" w:themeShade="BF"/>
                        </w:rPr>
                      </w:pPr>
                      <w:r w:rsidRPr="00993913">
                        <w:rPr>
                          <w:b/>
                          <w:i/>
                          <w:color w:val="2E74B5" w:themeColor="accent1" w:themeShade="BF"/>
                        </w:rPr>
                        <w:t xml:space="preserve">Our IT department is looking to adopt external IaaS cloud partners as part of a new Data Center strategy. What steps to take to understand feasibility? </w:t>
                      </w:r>
                    </w:p>
                    <w:p w14:paraId="351FD8A2" w14:textId="77777777" w:rsidR="00FA39D6" w:rsidRPr="00993913" w:rsidRDefault="00FA39D6" w:rsidP="00993913">
                      <w:pPr>
                        <w:pStyle w:val="ListNumber"/>
                        <w:numPr>
                          <w:ilvl w:val="0"/>
                          <w:numId w:val="0"/>
                        </w:numPr>
                        <w:jc w:val="both"/>
                        <w:rPr>
                          <w:i/>
                          <w:color w:val="2E74B5" w:themeColor="accent1" w:themeShade="BF"/>
                        </w:rPr>
                      </w:pPr>
                      <w:r w:rsidRPr="00993913">
                        <w:rPr>
                          <w:i/>
                          <w:color w:val="2E74B5" w:themeColor="accent1" w:themeShade="BF"/>
                        </w:rPr>
                        <w:t>Establishment of a “Cloud Strategy” is critical to understanding requirements. Will you pursue Public Cloud? Is the company more comfortable with an in-house Private Cloud?  Perhaps a hybrid solution for maximum flexibility? Regardless of the direction, the strategy must be championed by senior leadership with a clear desired end-state communicated.</w:t>
                      </w:r>
                    </w:p>
                    <w:p w14:paraId="21C69EB0" w14:textId="00C51C7F" w:rsidR="00FA39D6" w:rsidRPr="00993913" w:rsidRDefault="00FA39D6" w:rsidP="00993913">
                      <w:pPr>
                        <w:pStyle w:val="ListNumber"/>
                        <w:numPr>
                          <w:ilvl w:val="0"/>
                          <w:numId w:val="0"/>
                        </w:numPr>
                        <w:jc w:val="both"/>
                        <w:rPr>
                          <w:i/>
                          <w:color w:val="2E74B5" w:themeColor="accent1" w:themeShade="BF"/>
                        </w:rPr>
                      </w:pPr>
                      <w:r w:rsidRPr="00993913">
                        <w:rPr>
                          <w:i/>
                          <w:color w:val="2E74B5" w:themeColor="accent1" w:themeShade="BF"/>
                        </w:rPr>
                        <w:t xml:space="preserve">No matter the model, a critical component </w:t>
                      </w:r>
                      <w:r w:rsidRPr="00600757">
                        <w:rPr>
                          <w:i/>
                          <w:color w:val="2E74B5" w:themeColor="accent1" w:themeShade="BF"/>
                        </w:rPr>
                        <w:t>to success is the deployment and adoption of Agile/DevOps tools and automation. This is a significant shift in IT infrastructure processes, and usually disruptive to legacy organization/resources.</w:t>
                      </w:r>
                      <w:r w:rsidR="00A71BE9" w:rsidRPr="00600757">
                        <w:rPr>
                          <w:i/>
                          <w:color w:val="2E74B5" w:themeColor="accent1" w:themeShade="BF"/>
                        </w:rPr>
                        <w:t xml:space="preserve"> Given the increased adoption by Life Sciences, this has become a requirement for cost effectiveness and efficiency. This should include adoption of Continuous I</w:t>
                      </w:r>
                      <w:r w:rsidR="00652EA8" w:rsidRPr="00600757">
                        <w:rPr>
                          <w:i/>
                          <w:color w:val="2E74B5" w:themeColor="accent1" w:themeShade="BF"/>
                        </w:rPr>
                        <w:t>ntegration/</w:t>
                      </w:r>
                      <w:r w:rsidR="00A71BE9" w:rsidRPr="00600757">
                        <w:rPr>
                          <w:i/>
                          <w:color w:val="2E74B5" w:themeColor="accent1" w:themeShade="BF"/>
                        </w:rPr>
                        <w:t xml:space="preserve">Continuous </w:t>
                      </w:r>
                      <w:r w:rsidR="00652EA8" w:rsidRPr="00600757">
                        <w:rPr>
                          <w:i/>
                          <w:color w:val="2E74B5" w:themeColor="accent1" w:themeShade="BF"/>
                        </w:rPr>
                        <w:t>Delivery (CI/CD).</w:t>
                      </w:r>
                      <w:r w:rsidRPr="00600757">
                        <w:rPr>
                          <w:i/>
                          <w:color w:val="2E74B5" w:themeColor="accent1" w:themeShade="BF"/>
                        </w:rPr>
                        <w:t xml:space="preserve"> An organization assessment for necessary skills is highly recommended and likely result in sourcing</w:t>
                      </w:r>
                      <w:r w:rsidRPr="00993913">
                        <w:rPr>
                          <w:i/>
                          <w:color w:val="2E74B5" w:themeColor="accent1" w:themeShade="BF"/>
                        </w:rPr>
                        <w:t xml:space="preserve"> skills/organizational changes. Skills requirements are not limited to </w:t>
                      </w:r>
                      <w:r w:rsidR="00600757" w:rsidRPr="00993913">
                        <w:rPr>
                          <w:i/>
                          <w:color w:val="2E74B5" w:themeColor="accent1" w:themeShade="BF"/>
                        </w:rPr>
                        <w:t>IT but</w:t>
                      </w:r>
                      <w:r w:rsidRPr="00993913">
                        <w:rPr>
                          <w:i/>
                          <w:color w:val="2E74B5" w:themeColor="accent1" w:themeShade="BF"/>
                        </w:rPr>
                        <w:t xml:space="preserve"> will also require the appropriate IT Security and IT/QA Compliance resources.</w:t>
                      </w:r>
                    </w:p>
                    <w:p w14:paraId="3A394969" w14:textId="1CB85DA3" w:rsidR="00FA39D6" w:rsidRPr="009B4C6B" w:rsidRDefault="00FA39D6" w:rsidP="00993913">
                      <w:pPr>
                        <w:pStyle w:val="ListNumber"/>
                        <w:numPr>
                          <w:ilvl w:val="0"/>
                          <w:numId w:val="0"/>
                        </w:numPr>
                        <w:jc w:val="both"/>
                        <w:rPr>
                          <w:i/>
                          <w:color w:val="2E74B5" w:themeColor="accent1" w:themeShade="BF"/>
                        </w:rPr>
                      </w:pPr>
                      <w:r w:rsidRPr="00993913">
                        <w:rPr>
                          <w:i/>
                          <w:color w:val="2E74B5" w:themeColor="accent1" w:themeShade="BF"/>
                        </w:rPr>
                        <w:t xml:space="preserve">For more on contractual considerations, see section </w:t>
                      </w:r>
                      <w:r>
                        <w:rPr>
                          <w:i/>
                          <w:color w:val="2E74B5" w:themeColor="accent1" w:themeShade="BF"/>
                        </w:rPr>
                        <w:fldChar w:fldCharType="begin"/>
                      </w:r>
                      <w:r>
                        <w:rPr>
                          <w:i/>
                          <w:color w:val="2E74B5" w:themeColor="accent1" w:themeShade="BF"/>
                        </w:rPr>
                        <w:instrText xml:space="preserve"> REF _Ref3283734 \r \h </w:instrText>
                      </w:r>
                      <w:r>
                        <w:rPr>
                          <w:i/>
                          <w:color w:val="2E74B5" w:themeColor="accent1" w:themeShade="BF"/>
                        </w:rPr>
                      </w:r>
                      <w:r>
                        <w:rPr>
                          <w:i/>
                          <w:color w:val="2E74B5" w:themeColor="accent1" w:themeShade="BF"/>
                        </w:rPr>
                        <w:fldChar w:fldCharType="separate"/>
                      </w:r>
                      <w:r>
                        <w:rPr>
                          <w:i/>
                          <w:color w:val="2E74B5" w:themeColor="accent1" w:themeShade="BF"/>
                        </w:rPr>
                        <w:t>4</w:t>
                      </w:r>
                      <w:r>
                        <w:rPr>
                          <w:i/>
                          <w:color w:val="2E74B5" w:themeColor="accent1" w:themeShade="BF"/>
                        </w:rPr>
                        <w:fldChar w:fldCharType="end"/>
                      </w:r>
                      <w:r w:rsidRPr="00993913">
                        <w:rPr>
                          <w:i/>
                          <w:color w:val="2E74B5" w:themeColor="accent1" w:themeShade="BF"/>
                        </w:rPr>
                        <w:t xml:space="preserve"> of the Framework.</w:t>
                      </w:r>
                    </w:p>
                  </w:txbxContent>
                </v:textbox>
                <w10:anchorlock/>
              </v:shape>
            </w:pict>
          </mc:Fallback>
        </mc:AlternateContent>
      </w:r>
    </w:p>
    <w:p w14:paraId="26DA25B4" w14:textId="77777777" w:rsidR="006362B5" w:rsidRDefault="00731F2A" w:rsidP="003B03C7">
      <w:pPr>
        <w:pStyle w:val="Heading4"/>
      </w:pPr>
      <w:bookmarkStart w:id="12" w:name="_Toc138311604"/>
      <w:r>
        <w:t>Infrastructure as a Servi</w:t>
      </w:r>
      <w:r w:rsidRPr="005E2A38">
        <w:t>ce</w:t>
      </w:r>
      <w:r w:rsidR="00583661" w:rsidRPr="005E2A38">
        <w:t xml:space="preserve"> (IaaS)</w:t>
      </w:r>
      <w:bookmarkEnd w:id="12"/>
    </w:p>
    <w:p w14:paraId="19E539D1" w14:textId="1F06607F" w:rsidR="00AF7FC3" w:rsidRDefault="00621128" w:rsidP="00E447DE">
      <w:pPr>
        <w:pStyle w:val="BodyText"/>
        <w:jc w:val="both"/>
      </w:pPr>
      <w:r w:rsidRPr="00F756E7">
        <w:t>IaaS</w:t>
      </w:r>
      <w:r>
        <w:rPr>
          <w:rStyle w:val="Strong"/>
        </w:rPr>
        <w:t xml:space="preserve"> </w:t>
      </w:r>
      <w:r>
        <w:t>refers to infrastructure resources being provided as</w:t>
      </w:r>
      <w:r w:rsidR="00E93E28">
        <w:t xml:space="preserve"> </w:t>
      </w:r>
      <w:r w:rsidR="00E52A5D">
        <w:t>a cloud service model</w:t>
      </w:r>
      <w:r>
        <w:t>.  This includes virtualized servers and network devices with scalable processing capacity and reserved bandwidth f</w:t>
      </w:r>
      <w:r w:rsidR="00E25222">
        <w:t>or storage and Internet access</w:t>
      </w:r>
      <w:r w:rsidR="00715A7A">
        <w:t xml:space="preserve">, ref </w:t>
      </w:r>
      <w:r w:rsidR="00715A7A">
        <w:fldChar w:fldCharType="begin"/>
      </w:r>
      <w:r w:rsidR="00715A7A">
        <w:instrText xml:space="preserve"> REF _Ref526683705 \r \h </w:instrText>
      </w:r>
      <w:r w:rsidR="00715A7A">
        <w:fldChar w:fldCharType="separate"/>
      </w:r>
      <w:r w:rsidR="0080580B">
        <w:t>[1]</w:t>
      </w:r>
      <w:r w:rsidR="00715A7A">
        <w:fldChar w:fldCharType="end"/>
      </w:r>
      <w:r w:rsidR="00E25222">
        <w:t>.</w:t>
      </w:r>
      <w:r>
        <w:t xml:space="preserve"> When IaaS </w:t>
      </w:r>
      <w:r w:rsidR="005E2A38">
        <w:t>is</w:t>
      </w:r>
      <w:r>
        <w:t xml:space="preserve"> incorporated into </w:t>
      </w:r>
      <w:proofErr w:type="spellStart"/>
      <w:r w:rsidR="00FE3BC5">
        <w:t>GxP</w:t>
      </w:r>
      <w:proofErr w:type="spellEnd"/>
      <w:r w:rsidR="00FE3BC5">
        <w:t xml:space="preserve"> </w:t>
      </w:r>
      <w:r>
        <w:t xml:space="preserve">computerized systems, </w:t>
      </w:r>
      <w:r w:rsidR="00B426C2">
        <w:t>Cloud Service C</w:t>
      </w:r>
      <w:r w:rsidR="001E62E8" w:rsidRPr="005E2A38">
        <w:t>ustomer</w:t>
      </w:r>
      <w:r w:rsidR="00B426C2">
        <w:t>s</w:t>
      </w:r>
      <w:r w:rsidR="001E62E8" w:rsidRPr="001E62E8">
        <w:t xml:space="preserve"> </w:t>
      </w:r>
      <w:r w:rsidR="00B426C2">
        <w:t>retain</w:t>
      </w:r>
      <w:r>
        <w:t xml:space="preserve"> </w:t>
      </w:r>
      <w:proofErr w:type="gramStart"/>
      <w:r>
        <w:t>a number of</w:t>
      </w:r>
      <w:proofErr w:type="gramEnd"/>
      <w:r>
        <w:t xml:space="preserve"> </w:t>
      </w:r>
      <w:proofErr w:type="spellStart"/>
      <w:r>
        <w:t>GxP</w:t>
      </w:r>
      <w:proofErr w:type="spellEnd"/>
      <w:r>
        <w:t xml:space="preserve"> responsibilities</w:t>
      </w:r>
      <w:r w:rsidR="00E52A5D">
        <w:t xml:space="preserve"> ensuring the qualification status of thi</w:t>
      </w:r>
      <w:r w:rsidR="008D11CC">
        <w:t>s</w:t>
      </w:r>
      <w:r w:rsidR="00E52A5D">
        <w:t xml:space="preserve"> infrastructure</w:t>
      </w:r>
      <w:r>
        <w:t>.</w:t>
      </w:r>
    </w:p>
    <w:p w14:paraId="52B0B589" w14:textId="77777777" w:rsidR="00AF7FC3" w:rsidRDefault="00AF7FC3">
      <w:r>
        <w:br w:type="page"/>
      </w:r>
    </w:p>
    <w:p w14:paraId="09E7CF16" w14:textId="77777777" w:rsidR="005E35B5" w:rsidRDefault="00731F2A" w:rsidP="003B03C7">
      <w:pPr>
        <w:pStyle w:val="Heading4"/>
      </w:pPr>
      <w:bookmarkStart w:id="13" w:name="_Toc138311605"/>
      <w:r>
        <w:t>Platform as a Service</w:t>
      </w:r>
      <w:r w:rsidR="00583661">
        <w:t xml:space="preserve"> </w:t>
      </w:r>
      <w:r w:rsidR="00583661" w:rsidRPr="005E2A38">
        <w:t>(PaaS)</w:t>
      </w:r>
      <w:bookmarkEnd w:id="13"/>
    </w:p>
    <w:p w14:paraId="1D002F66" w14:textId="77777777" w:rsidR="007037DA" w:rsidRPr="007037DA" w:rsidRDefault="007037DA" w:rsidP="00B426C2">
      <w:pPr>
        <w:pStyle w:val="BodyText"/>
        <w:jc w:val="both"/>
      </w:pPr>
      <w:r w:rsidRPr="007037DA">
        <w:t xml:space="preserve">PaaS is </w:t>
      </w:r>
      <w:proofErr w:type="gramStart"/>
      <w:r w:rsidRPr="007037DA">
        <w:t>similar to</w:t>
      </w:r>
      <w:proofErr w:type="gramEnd"/>
      <w:r w:rsidRPr="007037DA">
        <w:t xml:space="preserve"> IaaS but also includes the required services for a particular application to work.  In other words, PaaS is IaaS with runtime management and software components required for a given application to work on the IaaS.  In PaaS, </w:t>
      </w:r>
      <w:r w:rsidR="002543FE">
        <w:t>Cloud Service Brokers</w:t>
      </w:r>
      <w:r w:rsidR="001E62E8" w:rsidRPr="005E2A38">
        <w:t xml:space="preserve"> and </w:t>
      </w:r>
      <w:r w:rsidR="002543FE">
        <w:t>Cloud Service Providers</w:t>
      </w:r>
      <w:r w:rsidR="001E62E8" w:rsidRPr="005E2A38">
        <w:t xml:space="preserve"> </w:t>
      </w:r>
      <w:r w:rsidRPr="005E2A38">
        <w:t xml:space="preserve">manage the IaaS responsibilities and the virtual infrastructure, and </w:t>
      </w:r>
      <w:r w:rsidR="00B426C2">
        <w:t>Cloud Service C</w:t>
      </w:r>
      <w:r w:rsidR="001E62E8" w:rsidRPr="005E2A38">
        <w:t>ustomer</w:t>
      </w:r>
      <w:r w:rsidR="00B426C2">
        <w:t>s</w:t>
      </w:r>
      <w:r w:rsidR="001E62E8" w:rsidRPr="005E2A38">
        <w:t xml:space="preserve"> </w:t>
      </w:r>
      <w:r w:rsidR="00B426C2">
        <w:t>manage</w:t>
      </w:r>
      <w:r w:rsidRPr="005E2A38">
        <w:t xml:space="preserve"> the platform and application responsibilities.</w:t>
      </w:r>
      <w:r w:rsidRPr="007037DA">
        <w:t xml:space="preserve">  </w:t>
      </w:r>
    </w:p>
    <w:p w14:paraId="2B271C92" w14:textId="77777777" w:rsidR="00C52199" w:rsidRPr="005E2A38" w:rsidRDefault="00C52199" w:rsidP="000C04DB">
      <w:pPr>
        <w:pStyle w:val="Heading4"/>
      </w:pPr>
      <w:bookmarkStart w:id="14" w:name="_Toc138311606"/>
      <w:r>
        <w:t>Software as a S</w:t>
      </w:r>
      <w:r w:rsidRPr="005E2A38">
        <w:t>ervice</w:t>
      </w:r>
      <w:r w:rsidR="00583661" w:rsidRPr="005E2A38">
        <w:t xml:space="preserve"> (SaaS)</w:t>
      </w:r>
      <w:bookmarkEnd w:id="14"/>
    </w:p>
    <w:p w14:paraId="167FCF94" w14:textId="77777777" w:rsidR="007037DA" w:rsidRDefault="007037DA" w:rsidP="00B426C2">
      <w:pPr>
        <w:pStyle w:val="BodyText"/>
        <w:jc w:val="both"/>
      </w:pPr>
      <w:r w:rsidRPr="005E2A38">
        <w:t xml:space="preserve">SaaS </w:t>
      </w:r>
      <w:r w:rsidR="00E52A5D" w:rsidRPr="005E2A38">
        <w:t xml:space="preserve">includes </w:t>
      </w:r>
      <w:r w:rsidRPr="005E2A38">
        <w:t xml:space="preserve">complete software applications provided as </w:t>
      </w:r>
      <w:r w:rsidR="00E52A5D" w:rsidRPr="005E2A38">
        <w:t>a cloud service</w:t>
      </w:r>
      <w:r w:rsidRPr="005E2A38">
        <w:t xml:space="preserve">.  SaaS systems are typically accessed via a web browser </w:t>
      </w:r>
      <w:r w:rsidR="00ED151B">
        <w:t>and/</w:t>
      </w:r>
      <w:r w:rsidRPr="005E2A38">
        <w:t>or installed client application</w:t>
      </w:r>
      <w:r w:rsidR="00B426C2">
        <w:t>s</w:t>
      </w:r>
      <w:r w:rsidRPr="005E2A38">
        <w:t xml:space="preserve">.  The application(s) run (and associated data is stored/processed) on PaaS/IaaS, responsibility for which shall likely rest with the SaaS </w:t>
      </w:r>
      <w:r w:rsidR="002543FE">
        <w:t>Cloud Service Provider</w:t>
      </w:r>
      <w:r w:rsidR="00B426C2">
        <w:t>’</w:t>
      </w:r>
      <w:r w:rsidR="002543FE">
        <w:t>s</w:t>
      </w:r>
      <w:r w:rsidR="004843B0" w:rsidRPr="005E2A38">
        <w:t xml:space="preserve"> </w:t>
      </w:r>
      <w:r w:rsidRPr="005E2A38">
        <w:t xml:space="preserve">organization (but, which, may be contracted by the SaaS </w:t>
      </w:r>
      <w:r w:rsidR="00B426C2">
        <w:t>Cloud Service Provider</w:t>
      </w:r>
      <w:r w:rsidR="004843B0" w:rsidRPr="005E2A38">
        <w:t xml:space="preserve"> </w:t>
      </w:r>
      <w:r w:rsidRPr="005E2A38">
        <w:t xml:space="preserve">to one or more PaaS and/or IaaS </w:t>
      </w:r>
      <w:r w:rsidR="002543FE">
        <w:t>Cloud Service Brokers</w:t>
      </w:r>
      <w:r w:rsidR="004843B0" w:rsidRPr="005E2A38">
        <w:t xml:space="preserve"> and</w:t>
      </w:r>
      <w:r w:rsidR="00ED151B">
        <w:t>/or</w:t>
      </w:r>
      <w:r w:rsidR="004843B0" w:rsidRPr="005E2A38">
        <w:t xml:space="preserve"> </w:t>
      </w:r>
      <w:r w:rsidR="002543FE">
        <w:t>Cloud Service Providers</w:t>
      </w:r>
      <w:r w:rsidRPr="005E2A38">
        <w:t xml:space="preserve">).  SaaS </w:t>
      </w:r>
      <w:r w:rsidR="002543FE">
        <w:t>Cloud Service Providers</w:t>
      </w:r>
      <w:r w:rsidR="004843B0" w:rsidRPr="005E2A38">
        <w:t xml:space="preserve"> </w:t>
      </w:r>
      <w:r w:rsidRPr="005E2A38">
        <w:t xml:space="preserve">sometimes provide </w:t>
      </w:r>
      <w:r w:rsidR="00B426C2">
        <w:t xml:space="preserve">– in whole or in part - </w:t>
      </w:r>
      <w:r w:rsidRPr="005E2A38">
        <w:t>their</w:t>
      </w:r>
      <w:r w:rsidRPr="007037DA">
        <w:t xml:space="preserve"> own PaaS/IaaS.</w:t>
      </w:r>
    </w:p>
    <w:p w14:paraId="404B1FA1" w14:textId="77777777" w:rsidR="0097526A" w:rsidRDefault="0097526A" w:rsidP="0097526A">
      <w:pPr>
        <w:pStyle w:val="Heading2"/>
      </w:pPr>
      <w:bookmarkStart w:id="15" w:name="_Toc272518904"/>
      <w:bookmarkStart w:id="16" w:name="_Toc138311607"/>
      <w:r>
        <w:t>IT Supply Chain</w:t>
      </w:r>
      <w:r w:rsidR="00534814">
        <w:t xml:space="preserve"> in the Cloud Era</w:t>
      </w:r>
      <w:bookmarkEnd w:id="15"/>
      <w:bookmarkEnd w:id="16"/>
    </w:p>
    <w:p w14:paraId="1E1C3085" w14:textId="77777777" w:rsidR="008E68B5" w:rsidRDefault="008E68B5" w:rsidP="008E68B5">
      <w:pPr>
        <w:jc w:val="both"/>
      </w:pPr>
      <w:r>
        <w:t>Traditionally, customers within the life sciences sector have been accustomed to “owning” and having overall control of all aspects of a technology stack associated with the computerized systems that they utilize.  In cloud-based solutions this concept is disrupted in that contracted Cloud Service Providers have responsibility for provisioning of different services within such a technology stack.  And, therefore, the responsibilities are delegated from the customer to the provider(s) recognizing that the services from such providers may not be unique to the life sciences industry.</w:t>
      </w:r>
    </w:p>
    <w:p w14:paraId="42683B31" w14:textId="3A7E269F" w:rsidR="006E05C4" w:rsidRPr="00C94D4A" w:rsidRDefault="00C94D4A" w:rsidP="00ED151B">
      <w:pPr>
        <w:pStyle w:val="BodyText"/>
        <w:jc w:val="both"/>
      </w:pPr>
      <w:r>
        <w:t>The supply chain of IT resources h</w:t>
      </w:r>
      <w:r w:rsidR="00F07952">
        <w:t>as grown over time from a simple</w:t>
      </w:r>
      <w:r w:rsidR="00FE5446">
        <w:t>, direct</w:t>
      </w:r>
      <w:r>
        <w:t xml:space="preserve"> relationship between </w:t>
      </w:r>
      <w:r w:rsidR="00FE5446">
        <w:t xml:space="preserve">a purchaser </w:t>
      </w:r>
      <w:r>
        <w:t xml:space="preserve">and supplier to a set of relationships between </w:t>
      </w:r>
      <w:r w:rsidR="00F07952">
        <w:t>purchasers,</w:t>
      </w:r>
      <w:r w:rsidR="00FE5446">
        <w:t xml:space="preserve"> product suppliers, and </w:t>
      </w:r>
      <w:r>
        <w:t>service providers</w:t>
      </w:r>
      <w:r w:rsidR="00FE5446">
        <w:t>, as well as their downstream suppliers</w:t>
      </w:r>
      <w:r>
        <w:t xml:space="preserve">.  The </w:t>
      </w:r>
      <w:r w:rsidR="00F07952">
        <w:t>growth</w:t>
      </w:r>
      <w:r>
        <w:t xml:space="preserve"> of Internet-based services and </w:t>
      </w:r>
      <w:r w:rsidR="00ED151B">
        <w:t>loosely coupled</w:t>
      </w:r>
      <w:r>
        <w:t xml:space="preserve"> web</w:t>
      </w:r>
      <w:r w:rsidR="00F07952">
        <w:t xml:space="preserve"> </w:t>
      </w:r>
      <w:r>
        <w:t>services has f</w:t>
      </w:r>
      <w:r w:rsidR="00F07952">
        <w:t xml:space="preserve">urther increased the complexity of computerized systems </w:t>
      </w:r>
      <w:r w:rsidR="00ED151B">
        <w:t>provisioning</w:t>
      </w:r>
      <w:r w:rsidR="00E52A5D">
        <w:t>.</w:t>
      </w:r>
      <w:r w:rsidR="00F07952">
        <w:t xml:space="preserve"> </w:t>
      </w:r>
      <w:r w:rsidR="00E52A5D">
        <w:t>T</w:t>
      </w:r>
      <w:r w:rsidR="00ED151B">
        <w:t>he ability to manage this</w:t>
      </w:r>
      <w:r w:rsidR="00F07952">
        <w:t xml:space="preserve"> IT supply chain is now a critical success factor in business operations and compliance.</w:t>
      </w:r>
      <w:r>
        <w:t xml:space="preserve"> </w:t>
      </w:r>
    </w:p>
    <w:p w14:paraId="08CA16F0" w14:textId="77777777" w:rsidR="003D1714" w:rsidRDefault="00FE7BC5" w:rsidP="003D1714">
      <w:pPr>
        <w:pStyle w:val="Heading3"/>
      </w:pPr>
      <w:bookmarkStart w:id="17" w:name="_Cloud_Roles_and"/>
      <w:bookmarkStart w:id="18" w:name="_Ref397414007"/>
      <w:bookmarkStart w:id="19" w:name="_Toc138311608"/>
      <w:bookmarkEnd w:id="17"/>
      <w:r>
        <w:t xml:space="preserve">Cloud </w:t>
      </w:r>
      <w:r w:rsidR="003D1714">
        <w:t>Roles</w:t>
      </w:r>
      <w:bookmarkEnd w:id="18"/>
      <w:bookmarkEnd w:id="19"/>
      <w:r w:rsidR="00AA6ED2">
        <w:t xml:space="preserve"> </w:t>
      </w:r>
    </w:p>
    <w:p w14:paraId="4BDEAFA2" w14:textId="33D2088C" w:rsidR="00FE5446" w:rsidRDefault="00FE5446" w:rsidP="00ED151B">
      <w:pPr>
        <w:pStyle w:val="BodyText"/>
        <w:jc w:val="both"/>
      </w:pPr>
      <w:r>
        <w:t xml:space="preserve">The terms used </w:t>
      </w:r>
      <w:r w:rsidR="00E52A5D">
        <w:t xml:space="preserve">in </w:t>
      </w:r>
      <w:r>
        <w:t xml:space="preserve">cloud system roles are rapidly evolving as the cloud marketplace evolves, and for </w:t>
      </w:r>
      <w:r w:rsidR="00ED151B">
        <w:t xml:space="preserve">the </w:t>
      </w:r>
      <w:r>
        <w:t>purposes of this document w</w:t>
      </w:r>
      <w:r w:rsidR="00CA3A4C">
        <w:t xml:space="preserve">e have identified </w:t>
      </w:r>
      <w:r>
        <w:t>the basic roles</w:t>
      </w:r>
      <w:r w:rsidR="00A10676">
        <w:t xml:space="preserve"> based</w:t>
      </w:r>
      <w:r w:rsidR="00ED151B">
        <w:t>, here,</w:t>
      </w:r>
      <w:r w:rsidR="00A10676">
        <w:t xml:space="preserve"> </w:t>
      </w:r>
      <w:r w:rsidR="00CA3A4C">
        <w:t>from</w:t>
      </w:r>
      <w:r w:rsidR="00A10676">
        <w:t xml:space="preserve"> </w:t>
      </w:r>
      <w:r w:rsidR="00A10676" w:rsidRPr="001025A3">
        <w:t>NIST</w:t>
      </w:r>
      <w:r w:rsidR="001025A3">
        <w:t xml:space="preserve"> ref </w:t>
      </w:r>
      <w:r w:rsidR="001025A3">
        <w:fldChar w:fldCharType="begin"/>
      </w:r>
      <w:r w:rsidR="001025A3">
        <w:instrText xml:space="preserve"> REF _Ref526683985 \r \h </w:instrText>
      </w:r>
      <w:r w:rsidR="001025A3">
        <w:fldChar w:fldCharType="separate"/>
      </w:r>
      <w:r w:rsidR="00FB484C">
        <w:t>[3]</w:t>
      </w:r>
      <w:r w:rsidR="001025A3">
        <w:fldChar w:fldCharType="end"/>
      </w:r>
      <w:r w:rsidR="001025A3">
        <w:t xml:space="preserve"> and ISO ref </w:t>
      </w:r>
      <w:r w:rsidR="001025A3">
        <w:fldChar w:fldCharType="begin"/>
      </w:r>
      <w:r w:rsidR="001025A3">
        <w:instrText xml:space="preserve"> REF _Ref526682094 \r \h </w:instrText>
      </w:r>
      <w:r w:rsidR="001025A3">
        <w:fldChar w:fldCharType="separate"/>
      </w:r>
      <w:r w:rsidR="0080580B">
        <w:t>[2]</w:t>
      </w:r>
      <w:r w:rsidR="001025A3">
        <w:fldChar w:fldCharType="end"/>
      </w:r>
      <w:r>
        <w:t>.</w:t>
      </w:r>
    </w:p>
    <w:p w14:paraId="00BE53D4" w14:textId="221B091E" w:rsidR="00AF7FC3" w:rsidRDefault="003D1714" w:rsidP="00D512BA">
      <w:pPr>
        <w:pStyle w:val="ListBullet"/>
        <w:numPr>
          <w:ilvl w:val="0"/>
          <w:numId w:val="0"/>
        </w:numPr>
        <w:tabs>
          <w:tab w:val="num" w:pos="720"/>
        </w:tabs>
        <w:ind w:left="720"/>
        <w:jc w:val="both"/>
      </w:pPr>
      <w:r w:rsidRPr="00D94647">
        <w:rPr>
          <w:rStyle w:val="Strong"/>
        </w:rPr>
        <w:t>Consumer</w:t>
      </w:r>
      <w:r w:rsidR="001025A3">
        <w:rPr>
          <w:rStyle w:val="Strong"/>
        </w:rPr>
        <w:t xml:space="preserve"> / Customer</w:t>
      </w:r>
      <w:r w:rsidR="00D94647">
        <w:rPr>
          <w:rStyle w:val="Strong"/>
        </w:rPr>
        <w:t>:</w:t>
      </w:r>
      <w:r w:rsidR="00C94D4A">
        <w:t xml:space="preserve"> In the context of </w:t>
      </w:r>
      <w:proofErr w:type="spellStart"/>
      <w:r w:rsidR="00C94D4A">
        <w:t>GxP</w:t>
      </w:r>
      <w:proofErr w:type="spellEnd"/>
      <w:r w:rsidR="00C94D4A">
        <w:t xml:space="preserve">, cloud consumers are generally the organizations </w:t>
      </w:r>
      <w:r w:rsidR="00557CF9">
        <w:t>that</w:t>
      </w:r>
      <w:r w:rsidR="00C94D4A">
        <w:t xml:space="preserve"> </w:t>
      </w:r>
      <w:r w:rsidR="00F07952">
        <w:t>purchase</w:t>
      </w:r>
      <w:r w:rsidR="00C94D4A">
        <w:t xml:space="preserve"> and use the cloud services to </w:t>
      </w:r>
      <w:r w:rsidR="00ED151B">
        <w:t>support</w:t>
      </w:r>
      <w:r w:rsidR="00C94D4A">
        <w:t xml:space="preserve"> their </w:t>
      </w:r>
      <w:proofErr w:type="spellStart"/>
      <w:r w:rsidR="00C94D4A">
        <w:t>GxP</w:t>
      </w:r>
      <w:proofErr w:type="spellEnd"/>
      <w:r w:rsidR="00C94D4A">
        <w:t>-regulated activities.  For example, a pharma company th</w:t>
      </w:r>
      <w:r w:rsidR="00F07952">
        <w:t xml:space="preserve">at selects and implements a cloud-based LIMS as a SaaS solution for their GMP laboratory </w:t>
      </w:r>
      <w:r w:rsidR="00C94D4A">
        <w:t>would b</w:t>
      </w:r>
      <w:r w:rsidR="00F07952">
        <w:t>e considered a cloud consumer.  C</w:t>
      </w:r>
      <w:r w:rsidR="00F07952" w:rsidRPr="005E2A38">
        <w:t xml:space="preserve">loud consumers are generally billed for the cloud services they </w:t>
      </w:r>
      <w:r w:rsidR="0009295C" w:rsidRPr="005E2A38">
        <w:t>consume</w:t>
      </w:r>
      <w:r w:rsidR="00F07952" w:rsidRPr="005E2A38">
        <w:t>, and depending on the services requested</w:t>
      </w:r>
      <w:r w:rsidR="00FC3552" w:rsidRPr="005E2A38">
        <w:t xml:space="preserve"> (IaaS, PaaS, SaaS)</w:t>
      </w:r>
      <w:r w:rsidR="00F07952" w:rsidRPr="005E2A38">
        <w:t xml:space="preserve"> their acti</w:t>
      </w:r>
      <w:r w:rsidR="00FC3552" w:rsidRPr="005E2A38">
        <w:t>vities, use cases a</w:t>
      </w:r>
      <w:r w:rsidR="00E52A5D" w:rsidRPr="005E2A38">
        <w:t>n</w:t>
      </w:r>
      <w:r w:rsidR="00FC3552" w:rsidRPr="005E2A38">
        <w:t xml:space="preserve">d </w:t>
      </w:r>
      <w:proofErr w:type="spellStart"/>
      <w:r w:rsidR="00FC3552" w:rsidRPr="005E2A38">
        <w:t>GxP</w:t>
      </w:r>
      <w:proofErr w:type="spellEnd"/>
      <w:r w:rsidR="00FC3552" w:rsidRPr="005E2A38">
        <w:t xml:space="preserve"> requirements may vary.</w:t>
      </w:r>
      <w:r w:rsidR="00452F88" w:rsidRPr="005E2A38">
        <w:t xml:space="preserve"> </w:t>
      </w:r>
    </w:p>
    <w:p w14:paraId="0296F430" w14:textId="50B0D2EF" w:rsidR="00FC3552" w:rsidRPr="005E2A38" w:rsidRDefault="00FC3552" w:rsidP="00ED151B">
      <w:pPr>
        <w:pStyle w:val="ListBullet"/>
        <w:tabs>
          <w:tab w:val="clear" w:pos="360"/>
          <w:tab w:val="num" w:pos="720"/>
        </w:tabs>
        <w:ind w:left="720"/>
        <w:jc w:val="both"/>
      </w:pPr>
      <w:r w:rsidRPr="00D94647">
        <w:rPr>
          <w:rStyle w:val="Strong"/>
        </w:rPr>
        <w:t>Provider</w:t>
      </w:r>
      <w:r w:rsidR="00D94647">
        <w:t>:</w:t>
      </w:r>
      <w:r>
        <w:t xml:space="preserve"> Cloud providers are the organizations or entities responsible for making the cloud service available to consumers.  </w:t>
      </w:r>
      <w:r w:rsidR="008F45F1">
        <w:t>The</w:t>
      </w:r>
      <w:r>
        <w:t xml:space="preserve"> activities </w:t>
      </w:r>
      <w:r w:rsidR="00ED151B">
        <w:t xml:space="preserve">that the </w:t>
      </w:r>
      <w:r>
        <w:t>cl</w:t>
      </w:r>
      <w:r w:rsidRPr="005E2A38">
        <w:t xml:space="preserve">oud providers perform </w:t>
      </w:r>
      <w:r w:rsidR="008F45F1" w:rsidRPr="005E2A38">
        <w:t>will</w:t>
      </w:r>
      <w:r w:rsidRPr="005E2A38">
        <w:t xml:space="preserve"> vary depending on thei</w:t>
      </w:r>
      <w:r w:rsidR="008F45F1" w:rsidRPr="005E2A38">
        <w:t xml:space="preserve">r </w:t>
      </w:r>
      <w:proofErr w:type="gramStart"/>
      <w:r w:rsidR="008F45F1" w:rsidRPr="005E2A38">
        <w:t>particular service</w:t>
      </w:r>
      <w:proofErr w:type="gramEnd"/>
      <w:r w:rsidR="008F45F1" w:rsidRPr="005E2A38">
        <w:t xml:space="preserve"> offerings and can </w:t>
      </w:r>
      <w:r w:rsidRPr="005E2A38">
        <w:t>include building, deploying, operating and maintaining the cloud infrastructure and associated service layers.</w:t>
      </w:r>
      <w:r w:rsidR="008F45F1" w:rsidRPr="005E2A38">
        <w:t xml:space="preserve">  </w:t>
      </w:r>
    </w:p>
    <w:p w14:paraId="742279C6" w14:textId="4AFFE6AF" w:rsidR="00452F88" w:rsidRDefault="001025A3" w:rsidP="00ED151B">
      <w:pPr>
        <w:pStyle w:val="ListBullet"/>
        <w:ind w:left="720"/>
        <w:jc w:val="both"/>
      </w:pPr>
      <w:r>
        <w:rPr>
          <w:rStyle w:val="Strong"/>
        </w:rPr>
        <w:t xml:space="preserve">Broker / </w:t>
      </w:r>
      <w:r w:rsidR="00C94D4A" w:rsidRPr="005E2A38">
        <w:rPr>
          <w:rStyle w:val="Strong"/>
        </w:rPr>
        <w:t>Manager</w:t>
      </w:r>
      <w:r w:rsidR="00D94647" w:rsidRPr="005E2A38">
        <w:rPr>
          <w:rStyle w:val="Strong"/>
        </w:rPr>
        <w:t>:</w:t>
      </w:r>
      <w:r w:rsidR="00F07952" w:rsidRPr="005E2A38">
        <w:t xml:space="preserve"> </w:t>
      </w:r>
      <w:r w:rsidR="00FC3552" w:rsidRPr="005E2A38">
        <w:t xml:space="preserve">Cloud </w:t>
      </w:r>
      <w:r w:rsidR="00D94647" w:rsidRPr="005E2A38">
        <w:t>managers</w:t>
      </w:r>
      <w:r w:rsidR="007E1871">
        <w:t xml:space="preserve"> </w:t>
      </w:r>
      <w:r w:rsidR="00FC3552" w:rsidRPr="005E2A38">
        <w:t xml:space="preserve">are the </w:t>
      </w:r>
      <w:r w:rsidR="00D94647" w:rsidRPr="005E2A38">
        <w:t>organizations</w:t>
      </w:r>
      <w:r w:rsidR="00FC3552" w:rsidRPr="005E2A38">
        <w:t xml:space="preserve"> and entities that manage the configuration, </w:t>
      </w:r>
      <w:proofErr w:type="gramStart"/>
      <w:r w:rsidR="00FC3552" w:rsidRPr="005E2A38">
        <w:t>delivery</w:t>
      </w:r>
      <w:proofErr w:type="gramEnd"/>
      <w:r w:rsidR="00FC3552" w:rsidRPr="005E2A38">
        <w:t xml:space="preserve"> and use of cloud services on behalf of the cloud consumer.  In the </w:t>
      </w:r>
      <w:proofErr w:type="spellStart"/>
      <w:r w:rsidR="00FC3552" w:rsidRPr="005E2A38">
        <w:t>GxP</w:t>
      </w:r>
      <w:proofErr w:type="spellEnd"/>
      <w:r w:rsidR="00FC3552" w:rsidRPr="005E2A38">
        <w:t xml:space="preserve"> context, for example, cloud managers may perform </w:t>
      </w:r>
      <w:r w:rsidR="00D94647" w:rsidRPr="005E2A38">
        <w:t xml:space="preserve">infrastructure </w:t>
      </w:r>
      <w:r w:rsidR="00E52A5D" w:rsidRPr="005E2A38">
        <w:t xml:space="preserve">change control </w:t>
      </w:r>
      <w:r w:rsidR="00FC3552" w:rsidRPr="005E2A38">
        <w:t xml:space="preserve">activities </w:t>
      </w:r>
      <w:r w:rsidR="00D94647" w:rsidRPr="005E2A38">
        <w:t>on the consumers</w:t>
      </w:r>
      <w:r w:rsidR="00557CF9" w:rsidRPr="005E2A38">
        <w:t>’</w:t>
      </w:r>
      <w:r w:rsidR="00D94647" w:rsidRPr="005E2A38">
        <w:t xml:space="preserve"> virtual infrastructure built using</w:t>
      </w:r>
      <w:r w:rsidR="008F45F1" w:rsidRPr="005E2A38">
        <w:t xml:space="preserve"> general purpose, commercial</w:t>
      </w:r>
      <w:r w:rsidR="00D94647" w:rsidRPr="005E2A38">
        <w:t xml:space="preserve"> cloud services.</w:t>
      </w:r>
      <w:r w:rsidR="00FC3552" w:rsidRPr="005E2A38">
        <w:t xml:space="preserve"> </w:t>
      </w:r>
    </w:p>
    <w:p w14:paraId="69A6A4CE" w14:textId="49E03C9B" w:rsidR="0095377E" w:rsidRDefault="00FE7BC5" w:rsidP="00ED151B">
      <w:pPr>
        <w:pStyle w:val="ListBullet"/>
        <w:ind w:left="720"/>
        <w:jc w:val="both"/>
      </w:pPr>
      <w:r w:rsidRPr="005E2A38">
        <w:rPr>
          <w:b/>
        </w:rPr>
        <w:t>Auditor</w:t>
      </w:r>
      <w:r w:rsidR="00D94647" w:rsidRPr="005E2A38">
        <w:rPr>
          <w:b/>
        </w:rPr>
        <w:t>:</w:t>
      </w:r>
      <w:r w:rsidR="00D94647" w:rsidRPr="005E2A38">
        <w:t xml:space="preserve">  A cloud auditor is a party that is qualified to conduct assessments of the cloud provider and the cloud infrastructure underlying the IaaS, PaaS, SaaS</w:t>
      </w:r>
      <w:r w:rsidRPr="005E2A38">
        <w:t xml:space="preserve"> </w:t>
      </w:r>
      <w:r w:rsidR="00D94647" w:rsidRPr="005E2A38">
        <w:t xml:space="preserve">services.  The auditor may be an independent third party such as a </w:t>
      </w:r>
      <w:r w:rsidR="004D7B58" w:rsidRPr="005E2A38">
        <w:t>third-party</w:t>
      </w:r>
      <w:r w:rsidR="00D94647" w:rsidRPr="005E2A38">
        <w:t xml:space="preserve"> assessment organization (3PAO) or </w:t>
      </w:r>
      <w:r w:rsidR="00ED151B">
        <w:t>can</w:t>
      </w:r>
      <w:r w:rsidR="00D94647" w:rsidRPr="005E2A38">
        <w:t xml:space="preserve"> also be a member of the consumer, </w:t>
      </w:r>
      <w:proofErr w:type="gramStart"/>
      <w:r w:rsidR="00D94647" w:rsidRPr="005E2A38">
        <w:t>provider</w:t>
      </w:r>
      <w:proofErr w:type="gramEnd"/>
      <w:r w:rsidR="00D94647" w:rsidRPr="005E2A38">
        <w:t xml:space="preserve"> or manager organization.</w:t>
      </w:r>
      <w:r w:rsidR="00452F88" w:rsidRPr="005E2A38">
        <w:t xml:space="preserve"> </w:t>
      </w:r>
    </w:p>
    <w:p w14:paraId="4FECC761" w14:textId="77777777" w:rsidR="00D94647" w:rsidRDefault="00FE5446" w:rsidP="00FE5446">
      <w:pPr>
        <w:pStyle w:val="Heading3"/>
      </w:pPr>
      <w:bookmarkStart w:id="20" w:name="_Ref3283278"/>
      <w:bookmarkStart w:id="21" w:name="_Toc138311609"/>
      <w:r>
        <w:t>Activities and Examples in the Cloud Supply Chain</w:t>
      </w:r>
      <w:bookmarkEnd w:id="20"/>
      <w:bookmarkEnd w:id="21"/>
    </w:p>
    <w:p w14:paraId="49A9B186" w14:textId="38F2DD8F" w:rsidR="007D46FA" w:rsidRDefault="007D46FA" w:rsidP="00ED151B">
      <w:pPr>
        <w:jc w:val="both"/>
      </w:pPr>
      <w:r>
        <w:t xml:space="preserve">In this </w:t>
      </w:r>
      <w:r w:rsidR="000C04DB">
        <w:t>framework</w:t>
      </w:r>
      <w:r>
        <w:t xml:space="preserve">, we have chosen to use the </w:t>
      </w:r>
      <w:r w:rsidR="00ED151B">
        <w:t xml:space="preserve">following </w:t>
      </w:r>
      <w:r>
        <w:t>roles/</w:t>
      </w:r>
      <w:r w:rsidR="00C157EF">
        <w:t>parties</w:t>
      </w:r>
      <w:r>
        <w:t>:</w:t>
      </w:r>
    </w:p>
    <w:p w14:paraId="0E0C40FE" w14:textId="77777777" w:rsidR="007D46FA" w:rsidRDefault="007D46FA" w:rsidP="00670620">
      <w:pPr>
        <w:pStyle w:val="ListParagraph"/>
        <w:numPr>
          <w:ilvl w:val="0"/>
          <w:numId w:val="10"/>
        </w:numPr>
        <w:jc w:val="both"/>
      </w:pPr>
      <w:r>
        <w:t>C</w:t>
      </w:r>
      <w:r w:rsidR="00ED151B">
        <w:t>loud Service C</w:t>
      </w:r>
      <w:r w:rsidRPr="007D46FA">
        <w:t>ustomer,</w:t>
      </w:r>
    </w:p>
    <w:p w14:paraId="0726058D" w14:textId="77777777" w:rsidR="007D46FA" w:rsidRDefault="002543FE" w:rsidP="00670620">
      <w:pPr>
        <w:pStyle w:val="ListParagraph"/>
        <w:numPr>
          <w:ilvl w:val="0"/>
          <w:numId w:val="10"/>
        </w:numPr>
        <w:jc w:val="both"/>
      </w:pPr>
      <w:r>
        <w:t>Cloud Service Brokers</w:t>
      </w:r>
      <w:r w:rsidR="00CA3A4C">
        <w:t>,</w:t>
      </w:r>
      <w:r w:rsidR="007D46FA">
        <w:t xml:space="preserve"> and</w:t>
      </w:r>
    </w:p>
    <w:p w14:paraId="58AFAB51" w14:textId="77777777" w:rsidR="007D46FA" w:rsidRDefault="002543FE" w:rsidP="00670620">
      <w:pPr>
        <w:pStyle w:val="ListParagraph"/>
        <w:numPr>
          <w:ilvl w:val="0"/>
          <w:numId w:val="10"/>
        </w:numPr>
        <w:jc w:val="both"/>
      </w:pPr>
      <w:r>
        <w:t>Cloud Service Providers</w:t>
      </w:r>
      <w:r w:rsidR="00CA3A4C">
        <w:t>.</w:t>
      </w:r>
    </w:p>
    <w:p w14:paraId="664C2BFF" w14:textId="1EC384BE" w:rsidR="007D46FA" w:rsidRDefault="007D46FA" w:rsidP="00ED151B">
      <w:pPr>
        <w:jc w:val="both"/>
      </w:pPr>
      <w:r>
        <w:t>A</w:t>
      </w:r>
      <w:r w:rsidR="00521A48">
        <w:t>n organizational entity</w:t>
      </w:r>
      <w:r w:rsidRPr="007D46FA">
        <w:t xml:space="preserve"> can play m</w:t>
      </w:r>
      <w:r w:rsidR="007E5839">
        <w:t>ore than one role at any given contractual situation</w:t>
      </w:r>
      <w:r w:rsidRPr="007D46FA">
        <w:t xml:space="preserve">. </w:t>
      </w:r>
      <w:r w:rsidR="007E5839">
        <w:t xml:space="preserve">The </w:t>
      </w:r>
      <w:r>
        <w:t>figure below</w:t>
      </w:r>
      <w:r w:rsidR="007E5839">
        <w:t xml:space="preserve"> provides a simplistic model.</w:t>
      </w:r>
      <w:r w:rsidR="004E2587">
        <w:t xml:space="preserve"> In the real world the cloud service providers for a solution often </w:t>
      </w:r>
      <w:r w:rsidR="00600757">
        <w:t>involve three</w:t>
      </w:r>
      <w:r w:rsidR="004E2587">
        <w:t xml:space="preserve"> or more SaaS and an IaaS provider. </w:t>
      </w:r>
    </w:p>
    <w:p w14:paraId="1340D338" w14:textId="77777777" w:rsidR="007D46FA" w:rsidRDefault="00014A8C" w:rsidP="007D46FA">
      <w:r>
        <w:rPr>
          <w:noProof/>
        </w:rPr>
        <mc:AlternateContent>
          <mc:Choice Requires="wps">
            <w:drawing>
              <wp:anchor distT="0" distB="0" distL="114300" distR="114300" simplePos="0" relativeHeight="251658241" behindDoc="0" locked="0" layoutInCell="1" allowOverlap="1" wp14:anchorId="3AE5DC93" wp14:editId="1F4BD8C8">
                <wp:simplePos x="0" y="0"/>
                <wp:positionH relativeFrom="column">
                  <wp:posOffset>1478280</wp:posOffset>
                </wp:positionH>
                <wp:positionV relativeFrom="paragraph">
                  <wp:posOffset>115570</wp:posOffset>
                </wp:positionV>
                <wp:extent cx="1578610" cy="642620"/>
                <wp:effectExtent l="0" t="0" r="21590" b="241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8610" cy="6426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BF7505" w14:textId="77777777" w:rsidR="00FA39D6" w:rsidRDefault="00FA39D6" w:rsidP="007D46FA">
                            <w:pPr>
                              <w:jc w:val="center"/>
                            </w:pPr>
                            <w:r>
                              <w:t>Cloud Service C</w:t>
                            </w:r>
                            <w:r w:rsidRPr="007D46FA">
                              <w:t>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AE5DC93" id="Rounded Rectangle 2" o:spid="_x0000_s1029" style="position:absolute;margin-left:116.4pt;margin-top:9.1pt;width:124.3pt;height:50.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" fillcolor="#5b9bd5 [3204]" strokecolor="#1f4d78 [1604]" strokeweight="1pt">
                <v:stroke joinstyle="miter"/>
                <v:path arrowok="t"/>
                <v:textbox>
                  <w:txbxContent>
                    <w:p w14:paraId="2FBF7505" w14:textId="77777777" w:rsidR="00FA39D6" w:rsidRDefault="00FA39D6" w:rsidP="007D46FA">
                      <w:pPr>
                        <w:jc w:val="center"/>
                      </w:pPr>
                      <w:r>
                        <w:t>Cloud Service C</w:t>
                      </w:r>
                      <w:r w:rsidRPr="007D46FA">
                        <w:t>ustomer</w:t>
                      </w:r>
                    </w:p>
                  </w:txbxContent>
                </v:textbox>
              </v:roundrect>
            </w:pict>
          </mc:Fallback>
        </mc:AlternateContent>
      </w:r>
      <w:r>
        <w:rPr>
          <w:noProof/>
        </w:rPr>
        <mc:AlternateContent>
          <mc:Choice Requires="wps">
            <w:drawing>
              <wp:anchor distT="0" distB="0" distL="114300" distR="114300" simplePos="0" relativeHeight="251658243" behindDoc="0" locked="0" layoutInCell="1" allowOverlap="1" wp14:anchorId="3BC84148" wp14:editId="0C7D2BB8">
                <wp:simplePos x="0" y="0"/>
                <wp:positionH relativeFrom="column">
                  <wp:posOffset>3181985</wp:posOffset>
                </wp:positionH>
                <wp:positionV relativeFrom="paragraph">
                  <wp:posOffset>116205</wp:posOffset>
                </wp:positionV>
                <wp:extent cx="978535" cy="1356995"/>
                <wp:effectExtent l="0" t="0" r="12065" b="1460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535" cy="13569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B790C7" w14:textId="77777777" w:rsidR="00FA39D6" w:rsidRDefault="00FA39D6" w:rsidP="007D46FA">
                            <w:pPr>
                              <w:jc w:val="center"/>
                            </w:pPr>
                            <w:r>
                              <w:t>Cloud Service B</w:t>
                            </w:r>
                            <w:r w:rsidRPr="007D46FA">
                              <w:t>rokers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84148" id="Rounded Rectangle 4" o:spid="_x0000_s1030" style="position:absolute;margin-left:250.55pt;margin-top:9.15pt;width:77.05pt;height:10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" fillcolor="#5b9bd5 [3204]" strokecolor="#1f4d78 [1604]" strokeweight="1pt">
                <v:stroke joinstyle="miter"/>
                <v:path arrowok="t"/>
                <v:textbox>
                  <w:txbxContent>
                    <w:p w14:paraId="12B790C7" w14:textId="77777777" w:rsidR="00FA39D6" w:rsidRDefault="00FA39D6" w:rsidP="007D46FA">
                      <w:pPr>
                        <w:jc w:val="center"/>
                      </w:pPr>
                      <w:r>
                        <w:t>Cloud Service B</w:t>
                      </w:r>
                      <w:r w:rsidRPr="007D46FA">
                        <w:t>rokers</w:t>
                      </w:r>
                    </w:p>
                  </w:txbxContent>
                </v:textbox>
              </v:roundrect>
            </w:pict>
          </mc:Fallback>
        </mc:AlternateContent>
      </w:r>
    </w:p>
    <w:p w14:paraId="38F3CF4E" w14:textId="77777777" w:rsidR="007D46FA" w:rsidRDefault="00014A8C" w:rsidP="007D46FA">
      <w:r>
        <w:rPr>
          <w:noProof/>
        </w:rPr>
        <mc:AlternateContent>
          <mc:Choice Requires="wps">
            <w:drawing>
              <wp:anchor distT="4294967294" distB="4294967294" distL="114300" distR="114300" simplePos="0" relativeHeight="251658246" behindDoc="0" locked="0" layoutInCell="1" allowOverlap="1" wp14:anchorId="3902ED0A" wp14:editId="404C5F24">
                <wp:simplePos x="0" y="0"/>
                <wp:positionH relativeFrom="column">
                  <wp:posOffset>2934970</wp:posOffset>
                </wp:positionH>
                <wp:positionV relativeFrom="paragraph">
                  <wp:posOffset>152399</wp:posOffset>
                </wp:positionV>
                <wp:extent cx="435610" cy="0"/>
                <wp:effectExtent l="38100" t="133350" r="0" b="133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5610" cy="0"/>
                        </a:xfrm>
                        <a:prstGeom prst="straightConnector1">
                          <a:avLst/>
                        </a:prstGeom>
                        <a:ln w="28575">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3FB9293" id="_x0000_t32" coordsize="21600,21600" o:spt="32" o:oned="t" path="m,l21600,21600e" filled="f">
                <v:path arrowok="t" fillok="f" o:connecttype="none"/>
                <o:lock v:ext="edit" shapetype="t"/>
              </v:shapetype>
              <v:shape id="Straight Arrow Connector 7" o:spid="_x0000_s1026" type="#_x0000_t32" style="position:absolute;margin-left:231.1pt;margin-top:12pt;width:34.3pt;height:0;flip:x;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" strokecolor="black [3213]" strokeweight="2.25pt">
                <v:stroke dashstyle="3 1" endarrow="open" joinstyle="miter"/>
                <o:lock v:ext="edit" shapetype="f"/>
              </v:shape>
            </w:pict>
          </mc:Fallback>
        </mc:AlternateContent>
      </w:r>
    </w:p>
    <w:p w14:paraId="7C64B381" w14:textId="77777777" w:rsidR="007D46FA" w:rsidRDefault="00014A8C" w:rsidP="007D46FA">
      <w:r>
        <w:rPr>
          <w:noProof/>
        </w:rPr>
        <mc:AlternateContent>
          <mc:Choice Requires="wps">
            <w:drawing>
              <wp:anchor distT="0" distB="0" distL="114300" distR="114300" simplePos="0" relativeHeight="251658242" behindDoc="0" locked="0" layoutInCell="1" allowOverlap="1" wp14:anchorId="4CEABEFF" wp14:editId="64AE0B16">
                <wp:simplePos x="0" y="0"/>
                <wp:positionH relativeFrom="column">
                  <wp:posOffset>1485900</wp:posOffset>
                </wp:positionH>
                <wp:positionV relativeFrom="paragraph">
                  <wp:posOffset>261620</wp:posOffset>
                </wp:positionV>
                <wp:extent cx="1578610" cy="642620"/>
                <wp:effectExtent l="0" t="0" r="21590" b="2413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8610" cy="6426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684E98" w14:textId="77777777" w:rsidR="00FA39D6" w:rsidRDefault="00FA39D6" w:rsidP="007D46FA">
                            <w:pPr>
                              <w:jc w:val="center"/>
                            </w:pPr>
                            <w:r>
                              <w:t>Cloud Service P</w:t>
                            </w:r>
                            <w:r w:rsidRPr="007D46FA">
                              <w:t>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CEABEFF" id="Rounded Rectangle 3" o:spid="_x0000_s1031" style="position:absolute;margin-left:117pt;margin-top:20.6pt;width:124.3pt;height:50.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" fillcolor="#5b9bd5 [3204]" strokecolor="#1f4d78 [1604]" strokeweight="1pt">
                <v:stroke joinstyle="miter"/>
                <v:path arrowok="t"/>
                <v:textbox>
                  <w:txbxContent>
                    <w:p w14:paraId="74684E98" w14:textId="77777777" w:rsidR="00FA39D6" w:rsidRDefault="00FA39D6" w:rsidP="007D46FA">
                      <w:pPr>
                        <w:jc w:val="center"/>
                      </w:pPr>
                      <w:r>
                        <w:t>Cloud Service P</w:t>
                      </w:r>
                      <w:r w:rsidRPr="007D46FA">
                        <w:t>roviders</w:t>
                      </w:r>
                    </w:p>
                  </w:txbxContent>
                </v:textbox>
              </v:roundrect>
            </w:pict>
          </mc:Fallback>
        </mc:AlternateContent>
      </w:r>
      <w:r>
        <w:rPr>
          <w:noProof/>
        </w:rPr>
        <mc:AlternateContent>
          <mc:Choice Requires="wps">
            <w:drawing>
              <wp:anchor distT="0" distB="0" distL="114298" distR="114298" simplePos="0" relativeHeight="251658244" behindDoc="0" locked="0" layoutInCell="1" allowOverlap="1" wp14:anchorId="03EC2BA7" wp14:editId="16536549">
                <wp:simplePos x="0" y="0"/>
                <wp:positionH relativeFrom="column">
                  <wp:posOffset>2306954</wp:posOffset>
                </wp:positionH>
                <wp:positionV relativeFrom="paragraph">
                  <wp:posOffset>59690</wp:posOffset>
                </wp:positionV>
                <wp:extent cx="0" cy="285750"/>
                <wp:effectExtent l="57150" t="38100" r="5715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8575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rto="http://schemas.microsoft.com/office/word/2006/arto">
            <w:pict>
              <v:shape w14:anchorId="4DAACA76" id="Straight Arrow Connector 5" o:spid="_x0000_s1026" type="#_x0000_t32" style="position:absolute;margin-left:181.65pt;margin-top:4.7pt;width:0;height:22.5pt;flip:y;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" strokecolor="black [3213]" strokeweight="2.25pt">
                <v:stroke endarrow="open" joinstyle="miter"/>
                <o:lock v:ext="edit" shapetype="f"/>
              </v:shape>
            </w:pict>
          </mc:Fallback>
        </mc:AlternateContent>
      </w:r>
    </w:p>
    <w:p w14:paraId="3E4769B4" w14:textId="77777777" w:rsidR="007D46FA" w:rsidRDefault="00014A8C" w:rsidP="007D46FA">
      <w:r>
        <w:rPr>
          <w:noProof/>
        </w:rPr>
        <mc:AlternateContent>
          <mc:Choice Requires="wps">
            <w:drawing>
              <wp:anchor distT="4294967294" distB="4294967294" distL="114300" distR="114300" simplePos="0" relativeHeight="251658245" behindDoc="0" locked="0" layoutInCell="1" allowOverlap="1" wp14:anchorId="18615D2A" wp14:editId="6A3FDE36">
                <wp:simplePos x="0" y="0"/>
                <wp:positionH relativeFrom="column">
                  <wp:posOffset>2950210</wp:posOffset>
                </wp:positionH>
                <wp:positionV relativeFrom="paragraph">
                  <wp:posOffset>281304</wp:posOffset>
                </wp:positionV>
                <wp:extent cx="435610" cy="0"/>
                <wp:effectExtent l="0" t="133350" r="0" b="133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610" cy="0"/>
                        </a:xfrm>
                        <a:prstGeom prst="straightConnector1">
                          <a:avLst/>
                        </a:prstGeom>
                        <a:ln w="28575">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82A1D1" id="Straight Arrow Connector 6" o:spid="_x0000_s1026" type="#_x0000_t32" style="position:absolute;margin-left:232.3pt;margin-top:22.15pt;width:3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" strokecolor="black [3213]" strokeweight="2.25pt">
                <v:stroke dashstyle="3 1" endarrow="open" joinstyle="miter"/>
                <o:lock v:ext="edit" shapetype="f"/>
              </v:shape>
            </w:pict>
          </mc:Fallback>
        </mc:AlternateContent>
      </w:r>
    </w:p>
    <w:p w14:paraId="54AEF262" w14:textId="77777777" w:rsidR="007D46FA" w:rsidRDefault="007D46FA" w:rsidP="007D46FA"/>
    <w:p w14:paraId="56958B31" w14:textId="77777777" w:rsidR="007D46FA" w:rsidRDefault="007D46FA" w:rsidP="007D46FA"/>
    <w:p w14:paraId="4209BEBA" w14:textId="0B37683B" w:rsidR="00F26A24" w:rsidRDefault="00B31771" w:rsidP="00B31771">
      <w:pPr>
        <w:pStyle w:val="Caption"/>
      </w:pPr>
      <w:r>
        <w:t xml:space="preserve">Figure </w:t>
      </w:r>
      <w:r w:rsidR="00D512BA">
        <w:fldChar w:fldCharType="begin"/>
      </w:r>
      <w:r w:rsidR="00D512BA">
        <w:instrText xml:space="preserve"> SEQ Figure \* ARABIC </w:instrText>
      </w:r>
      <w:r w:rsidR="00D512BA">
        <w:fldChar w:fldCharType="separate"/>
      </w:r>
      <w:r w:rsidR="0080580B">
        <w:rPr>
          <w:noProof/>
        </w:rPr>
        <w:t>2</w:t>
      </w:r>
      <w:r w:rsidR="00D512BA">
        <w:rPr>
          <w:noProof/>
        </w:rPr>
        <w:fldChar w:fldCharType="end"/>
      </w:r>
      <w:r>
        <w:t xml:space="preserve">: Connection between roles/parties in usage/provision of cloud services </w:t>
      </w:r>
    </w:p>
    <w:p w14:paraId="1E786546" w14:textId="20A29A8C" w:rsidR="00AF7FC3" w:rsidRDefault="00AF7FC3">
      <w:r>
        <w:br w:type="page"/>
      </w:r>
    </w:p>
    <w:p w14:paraId="4E5A2374" w14:textId="77777777" w:rsidR="004C1989" w:rsidRDefault="004C1989" w:rsidP="004C1989">
      <w:pPr>
        <w:pStyle w:val="Heading4"/>
      </w:pPr>
      <w:bookmarkStart w:id="22" w:name="_Toc138311610"/>
      <w:r>
        <w:t>Examples of Scenarios</w:t>
      </w:r>
      <w:bookmarkEnd w:id="22"/>
    </w:p>
    <w:p w14:paraId="0AE6BCF1" w14:textId="730EEBC9" w:rsidR="003E2DC9" w:rsidRDefault="00F26A24" w:rsidP="001634BD">
      <w:pPr>
        <w:jc w:val="both"/>
      </w:pPr>
      <w:r>
        <w:t xml:space="preserve">It is important to understand the interactions between the </w:t>
      </w:r>
      <w:r w:rsidR="000C04DB">
        <w:t>roles identified in Figure 2</w:t>
      </w:r>
      <w:r w:rsidR="003E2DC9">
        <w:t xml:space="preserve">. </w:t>
      </w:r>
      <w:r w:rsidR="00EF53F7">
        <w:t>While there are many potential variations</w:t>
      </w:r>
      <w:r w:rsidR="00166DC5">
        <w:t>, three</w:t>
      </w:r>
      <w:r w:rsidR="003E2DC9">
        <w:t xml:space="preserve"> foundational scenarios </w:t>
      </w:r>
      <w:r w:rsidR="00EF53F7">
        <w:t xml:space="preserve">seem to be the most common and </w:t>
      </w:r>
      <w:r w:rsidR="003E2DC9">
        <w:t xml:space="preserve">can be used to illustrate </w:t>
      </w:r>
      <w:r w:rsidR="00F06B42">
        <w:t>how</w:t>
      </w:r>
      <w:r w:rsidR="00471CA6">
        <w:t xml:space="preserve"> these roles </w:t>
      </w:r>
      <w:r w:rsidR="00EF53F7">
        <w:t xml:space="preserve">and their </w:t>
      </w:r>
      <w:r w:rsidR="00166DC5">
        <w:t>responsibilities</w:t>
      </w:r>
      <w:r w:rsidR="00B31771" w:rsidRPr="00B31771">
        <w:t xml:space="preserve"> </w:t>
      </w:r>
      <w:r w:rsidR="00B31771">
        <w:t>can interact.</w:t>
      </w:r>
    </w:p>
    <w:p w14:paraId="50EB1515" w14:textId="77777777" w:rsidR="00166DC5" w:rsidRDefault="003E2DC9" w:rsidP="001634BD">
      <w:pPr>
        <w:jc w:val="both"/>
        <w:rPr>
          <w:b/>
        </w:rPr>
      </w:pPr>
      <w:r w:rsidRPr="008B3305">
        <w:rPr>
          <w:b/>
        </w:rPr>
        <w:t xml:space="preserve">Scenario </w:t>
      </w:r>
      <w:r w:rsidR="00166DC5">
        <w:rPr>
          <w:b/>
        </w:rPr>
        <w:t>1</w:t>
      </w:r>
    </w:p>
    <w:p w14:paraId="6594B4EC" w14:textId="77777777" w:rsidR="00166DC5" w:rsidRDefault="00014A8C" w:rsidP="001634BD">
      <w:pPr>
        <w:jc w:val="both"/>
        <w:rPr>
          <w:b/>
        </w:rPr>
      </w:pPr>
      <w:r>
        <w:rPr>
          <w:b/>
          <w:noProof/>
        </w:rPr>
        <mc:AlternateContent>
          <mc:Choice Requires="wps">
            <w:drawing>
              <wp:anchor distT="0" distB="0" distL="114300" distR="114300" simplePos="0" relativeHeight="251658248" behindDoc="0" locked="0" layoutInCell="1" allowOverlap="1" wp14:anchorId="2F3CA22C" wp14:editId="442642AF">
                <wp:simplePos x="0" y="0"/>
                <wp:positionH relativeFrom="column">
                  <wp:posOffset>3206750</wp:posOffset>
                </wp:positionH>
                <wp:positionV relativeFrom="paragraph">
                  <wp:posOffset>22225</wp:posOffset>
                </wp:positionV>
                <wp:extent cx="1016000" cy="1356995"/>
                <wp:effectExtent l="0" t="0" r="12700" b="1460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0" cy="135699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CAC31D0" w14:textId="77777777" w:rsidR="00FA39D6" w:rsidRDefault="00FA39D6" w:rsidP="00166DC5">
                            <w:pPr>
                              <w:jc w:val="center"/>
                            </w:pPr>
                            <w:r>
                              <w:t>Cloud Service Provider</w:t>
                            </w:r>
                          </w:p>
                          <w:p w14:paraId="54FFDC37" w14:textId="77777777" w:rsidR="00FA39D6" w:rsidRDefault="00FA39D6" w:rsidP="00166DC5">
                            <w:pPr>
                              <w:jc w:val="center"/>
                            </w:pPr>
                            <w:r>
                              <w:t>SaaS/PaaS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CA22C" id="Rounded Rectangle 10" o:spid="_x0000_s1032" style="position:absolute;left:0;text-align:left;margin-left:252.5pt;margin-top:1.75pt;width:80pt;height:106.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" fillcolor="#5b9bd5" strokecolor="#41719c" strokeweight="1pt">
                <v:stroke joinstyle="miter"/>
                <v:path arrowok="t"/>
                <v:textbox>
                  <w:txbxContent>
                    <w:p w14:paraId="5CAC31D0" w14:textId="77777777" w:rsidR="00FA39D6" w:rsidRDefault="00FA39D6" w:rsidP="00166DC5">
                      <w:pPr>
                        <w:jc w:val="center"/>
                      </w:pPr>
                      <w:r>
                        <w:t>Cloud Service Provider</w:t>
                      </w:r>
                    </w:p>
                    <w:p w14:paraId="54FFDC37" w14:textId="77777777" w:rsidR="00FA39D6" w:rsidRDefault="00FA39D6" w:rsidP="00166DC5">
                      <w:pPr>
                        <w:jc w:val="center"/>
                      </w:pPr>
                      <w:r>
                        <w:t>SaaS/PaaS</w:t>
                      </w:r>
                    </w:p>
                  </w:txbxContent>
                </v:textbox>
              </v:roundrect>
            </w:pict>
          </mc:Fallback>
        </mc:AlternateContent>
      </w:r>
      <w:r>
        <w:rPr>
          <w:b/>
          <w:noProof/>
        </w:rPr>
        <mc:AlternateContent>
          <mc:Choice Requires="wps">
            <w:drawing>
              <wp:anchor distT="0" distB="0" distL="114300" distR="114300" simplePos="0" relativeHeight="251658249" behindDoc="0" locked="0" layoutInCell="1" allowOverlap="1" wp14:anchorId="0AD8FF1B" wp14:editId="41BF65E2">
                <wp:simplePos x="0" y="0"/>
                <wp:positionH relativeFrom="column">
                  <wp:posOffset>4391660</wp:posOffset>
                </wp:positionH>
                <wp:positionV relativeFrom="paragraph">
                  <wp:posOffset>40005</wp:posOffset>
                </wp:positionV>
                <wp:extent cx="978535" cy="1356995"/>
                <wp:effectExtent l="0" t="0" r="12065" b="1460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535" cy="135699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CE7FA6C" w14:textId="77777777" w:rsidR="00FA39D6" w:rsidRDefault="00FA39D6" w:rsidP="00166DC5">
                            <w:pPr>
                              <w:jc w:val="center"/>
                            </w:pPr>
                            <w:r>
                              <w:t>Cloud Service Provider</w:t>
                            </w:r>
                          </w:p>
                          <w:p w14:paraId="4A7EDA2D" w14:textId="77777777" w:rsidR="00FA39D6" w:rsidRDefault="00FA39D6" w:rsidP="00166DC5">
                            <w:pPr>
                              <w:jc w:val="center"/>
                            </w:pPr>
                            <w:r>
                              <w:t>IaaS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D8FF1B" id="Rounded Rectangle 11" o:spid="_x0000_s1033" style="position:absolute;left:0;text-align:left;margin-left:345.8pt;margin-top:3.15pt;width:77.05pt;height:106.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" fillcolor="#5b9bd5" strokecolor="#41719c" strokeweight="1pt">
                <v:stroke joinstyle="miter"/>
                <v:path arrowok="t"/>
                <v:textbox>
                  <w:txbxContent>
                    <w:p w14:paraId="5CE7FA6C" w14:textId="77777777" w:rsidR="00FA39D6" w:rsidRDefault="00FA39D6" w:rsidP="00166DC5">
                      <w:pPr>
                        <w:jc w:val="center"/>
                      </w:pPr>
                      <w:r>
                        <w:t>Cloud Service Provider</w:t>
                      </w:r>
                    </w:p>
                    <w:p w14:paraId="4A7EDA2D" w14:textId="77777777" w:rsidR="00FA39D6" w:rsidRDefault="00FA39D6" w:rsidP="00166DC5">
                      <w:pPr>
                        <w:jc w:val="center"/>
                      </w:pPr>
                      <w:r>
                        <w:t>IaaS</w:t>
                      </w:r>
                    </w:p>
                  </w:txbxContent>
                </v:textbox>
              </v:roundrect>
            </w:pict>
          </mc:Fallback>
        </mc:AlternateContent>
      </w:r>
    </w:p>
    <w:p w14:paraId="14EDA9F6" w14:textId="77777777" w:rsidR="00166DC5" w:rsidRDefault="00014A8C" w:rsidP="001634BD">
      <w:pPr>
        <w:jc w:val="both"/>
        <w:rPr>
          <w:b/>
        </w:rPr>
      </w:pPr>
      <w:r>
        <w:rPr>
          <w:b/>
          <w:noProof/>
        </w:rPr>
        <mc:AlternateContent>
          <mc:Choice Requires="wps">
            <w:drawing>
              <wp:anchor distT="0" distB="0" distL="114300" distR="114300" simplePos="0" relativeHeight="251658247" behindDoc="0" locked="0" layoutInCell="1" allowOverlap="1" wp14:anchorId="66B455FB" wp14:editId="2F5377F2">
                <wp:simplePos x="0" y="0"/>
                <wp:positionH relativeFrom="column">
                  <wp:posOffset>1336040</wp:posOffset>
                </wp:positionH>
                <wp:positionV relativeFrom="paragraph">
                  <wp:posOffset>0</wp:posOffset>
                </wp:positionV>
                <wp:extent cx="1578610" cy="642620"/>
                <wp:effectExtent l="0" t="0" r="21590" b="2413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8610" cy="64262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20B9F1B" w14:textId="77777777" w:rsidR="00FA39D6" w:rsidRDefault="00FA39D6" w:rsidP="00166DC5">
                            <w:pPr>
                              <w:jc w:val="center"/>
                            </w:pPr>
                            <w:r>
                              <w:t>Cloud Service C</w:t>
                            </w:r>
                            <w:r w:rsidRPr="007D46FA">
                              <w:t>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6B455FB" id="Rounded Rectangle 8" o:spid="_x0000_s1034" style="position:absolute;left:0;text-align:left;margin-left:105.2pt;margin-top:0;width:124.3pt;height:50.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" fillcolor="#5b9bd5" strokecolor="#41719c" strokeweight="1pt">
                <v:stroke joinstyle="miter"/>
                <v:path arrowok="t"/>
                <v:textbox>
                  <w:txbxContent>
                    <w:p w14:paraId="220B9F1B" w14:textId="77777777" w:rsidR="00FA39D6" w:rsidRDefault="00FA39D6" w:rsidP="00166DC5">
                      <w:pPr>
                        <w:jc w:val="center"/>
                      </w:pPr>
                      <w:r>
                        <w:t>Cloud Service C</w:t>
                      </w:r>
                      <w:r w:rsidRPr="007D46FA">
                        <w:t>ustomer</w:t>
                      </w:r>
                    </w:p>
                  </w:txbxContent>
                </v:textbox>
              </v:roundrect>
            </w:pict>
          </mc:Fallback>
        </mc:AlternateContent>
      </w:r>
    </w:p>
    <w:p w14:paraId="7C9E0F3E" w14:textId="77777777" w:rsidR="00166DC5" w:rsidRDefault="00014A8C" w:rsidP="008B3305">
      <w:pPr>
        <w:tabs>
          <w:tab w:val="left" w:pos="6602"/>
        </w:tabs>
        <w:jc w:val="both"/>
        <w:rPr>
          <w:b/>
        </w:rPr>
      </w:pPr>
      <w:r>
        <w:rPr>
          <w:b/>
          <w:noProof/>
        </w:rPr>
        <mc:AlternateContent>
          <mc:Choice Requires="wps">
            <w:drawing>
              <wp:anchor distT="0" distB="0" distL="114300" distR="114300" simplePos="0" relativeHeight="251658250" behindDoc="0" locked="0" layoutInCell="1" allowOverlap="1" wp14:anchorId="302D38C3" wp14:editId="51E74D02">
                <wp:simplePos x="0" y="0"/>
                <wp:positionH relativeFrom="column">
                  <wp:posOffset>4019550</wp:posOffset>
                </wp:positionH>
                <wp:positionV relativeFrom="paragraph">
                  <wp:posOffset>40640</wp:posOffset>
                </wp:positionV>
                <wp:extent cx="517525" cy="94615"/>
                <wp:effectExtent l="19050" t="19050" r="15875" b="38735"/>
                <wp:wrapNone/>
                <wp:docPr id="15" name="Left-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525" cy="94615"/>
                        </a:xfrm>
                        <a:prstGeom prst="lef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5EFBD3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5" o:spid="_x0000_s1026" type="#_x0000_t69" style="position:absolute;margin-left:316.5pt;margin-top:3.2pt;width:40.75pt;height:7.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" adj="1974" fillcolor="black [3213]" strokecolor="#1f4d78 [1604]" strokeweight="1pt">
                <v:path arrowok="t"/>
              </v:shape>
            </w:pict>
          </mc:Fallback>
        </mc:AlternateContent>
      </w:r>
      <w:r>
        <w:rPr>
          <w:b/>
          <w:noProof/>
        </w:rPr>
        <mc:AlternateContent>
          <mc:Choice Requires="wps">
            <w:drawing>
              <wp:anchor distT="0" distB="0" distL="114300" distR="114300" simplePos="0" relativeHeight="251658251" behindDoc="0" locked="0" layoutInCell="1" allowOverlap="1" wp14:anchorId="31821A19" wp14:editId="672FF8C9">
                <wp:simplePos x="0" y="0"/>
                <wp:positionH relativeFrom="column">
                  <wp:posOffset>2834640</wp:posOffset>
                </wp:positionH>
                <wp:positionV relativeFrom="paragraph">
                  <wp:posOffset>5080</wp:posOffset>
                </wp:positionV>
                <wp:extent cx="517525" cy="94615"/>
                <wp:effectExtent l="19050" t="19050" r="15875" b="38735"/>
                <wp:wrapNone/>
                <wp:docPr id="16" name="Left-right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525" cy="94615"/>
                        </a:xfrm>
                        <a:prstGeom prst="lef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FBF99F7" id="Left-Right Arrow 16" o:spid="_x0000_s1026" type="#_x0000_t69" style="position:absolute;margin-left:223.2pt;margin-top:.4pt;width:40.75pt;height: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" adj="1974" fillcolor="windowText" strokecolor="#41719c" strokeweight="1pt">
                <v:path arrowok="t"/>
              </v:shape>
            </w:pict>
          </mc:Fallback>
        </mc:AlternateContent>
      </w:r>
      <w:r w:rsidR="002B267E">
        <w:rPr>
          <w:b/>
        </w:rPr>
        <w:tab/>
      </w:r>
    </w:p>
    <w:p w14:paraId="56BBA54C" w14:textId="77777777" w:rsidR="00166DC5" w:rsidRDefault="00166DC5" w:rsidP="001634BD">
      <w:pPr>
        <w:jc w:val="both"/>
        <w:rPr>
          <w:b/>
        </w:rPr>
      </w:pPr>
    </w:p>
    <w:p w14:paraId="77C14479" w14:textId="77777777" w:rsidR="00166DC5" w:rsidRDefault="00166DC5" w:rsidP="001634BD">
      <w:pPr>
        <w:jc w:val="both"/>
        <w:rPr>
          <w:b/>
        </w:rPr>
      </w:pPr>
    </w:p>
    <w:p w14:paraId="4C6CDD6D" w14:textId="66D65B23" w:rsidR="00166DC5" w:rsidRPr="009F64EB" w:rsidRDefault="00B31771" w:rsidP="00B31771">
      <w:pPr>
        <w:pStyle w:val="Caption"/>
      </w:pPr>
      <w:r>
        <w:t xml:space="preserve">Figure </w:t>
      </w:r>
      <w:r w:rsidR="00D512BA">
        <w:fldChar w:fldCharType="begin"/>
      </w:r>
      <w:r w:rsidR="00D512BA">
        <w:instrText xml:space="preserve"> SEQ Figure \* ARABIC </w:instrText>
      </w:r>
      <w:r w:rsidR="00D512BA">
        <w:fldChar w:fldCharType="separate"/>
      </w:r>
      <w:r w:rsidR="0080580B">
        <w:rPr>
          <w:noProof/>
        </w:rPr>
        <w:t>3</w:t>
      </w:r>
      <w:r w:rsidR="00D512BA">
        <w:rPr>
          <w:noProof/>
        </w:rPr>
        <w:fldChar w:fldCharType="end"/>
      </w:r>
      <w:r>
        <w:t>: Scenario 1 example</w:t>
      </w:r>
    </w:p>
    <w:p w14:paraId="07778807" w14:textId="77777777" w:rsidR="003E2DC9" w:rsidRDefault="003E2DC9" w:rsidP="00670620">
      <w:pPr>
        <w:pStyle w:val="ListParagraph"/>
        <w:numPr>
          <w:ilvl w:val="0"/>
          <w:numId w:val="20"/>
        </w:numPr>
        <w:jc w:val="both"/>
      </w:pPr>
      <w:r w:rsidRPr="008B3305">
        <w:rPr>
          <w:b/>
        </w:rPr>
        <w:t>Cloud Service Customer</w:t>
      </w:r>
      <w:r>
        <w:t>: a pharmaceutical company who is the service consumer</w:t>
      </w:r>
      <w:r w:rsidR="00EE679E">
        <w:t xml:space="preserve">, with a contractual relationship with the Cloud Service </w:t>
      </w:r>
      <w:r w:rsidR="009D3D7B">
        <w:t>Provider (</w:t>
      </w:r>
      <w:r w:rsidR="009F64EB">
        <w:t>SaaS/P</w:t>
      </w:r>
      <w:r w:rsidR="00EE679E">
        <w:t>aaS</w:t>
      </w:r>
      <w:r w:rsidR="009D3D7B">
        <w:t>) only</w:t>
      </w:r>
      <w:r w:rsidR="00EE679E">
        <w:t>.</w:t>
      </w:r>
    </w:p>
    <w:p w14:paraId="0FAA1776" w14:textId="77777777" w:rsidR="003E2DC9" w:rsidRDefault="003E2DC9" w:rsidP="00670620">
      <w:pPr>
        <w:pStyle w:val="ListParagraph"/>
        <w:numPr>
          <w:ilvl w:val="0"/>
          <w:numId w:val="20"/>
        </w:numPr>
        <w:jc w:val="both"/>
      </w:pPr>
      <w:r w:rsidRPr="008B3305">
        <w:rPr>
          <w:b/>
        </w:rPr>
        <w:t xml:space="preserve">Cloud Service </w:t>
      </w:r>
      <w:r w:rsidR="00EE679E" w:rsidRPr="008B3305">
        <w:rPr>
          <w:b/>
        </w:rPr>
        <w:t>Provider (</w:t>
      </w:r>
      <w:r w:rsidR="009F64EB">
        <w:rPr>
          <w:b/>
        </w:rPr>
        <w:t>SaaS/P</w:t>
      </w:r>
      <w:r w:rsidRPr="008B3305">
        <w:rPr>
          <w:b/>
        </w:rPr>
        <w:t>aaS</w:t>
      </w:r>
      <w:r>
        <w:t xml:space="preserve">): a service provider who </w:t>
      </w:r>
      <w:r w:rsidR="00EE679E">
        <w:t>is providing the service</w:t>
      </w:r>
      <w:r>
        <w:t xml:space="preserve"> to t</w:t>
      </w:r>
      <w:r w:rsidR="00EE679E">
        <w:t>he Cloud Service Customer.  This provider would have a direct contractual relationship with the customer and with the Cloud Service Provider</w:t>
      </w:r>
      <w:r w:rsidR="00433C16">
        <w:t xml:space="preserve"> </w:t>
      </w:r>
      <w:r w:rsidR="00EE679E">
        <w:t>(IaaS)</w:t>
      </w:r>
      <w:r w:rsidR="00E25222">
        <w:t>.</w:t>
      </w:r>
      <w:r w:rsidR="00EE679E">
        <w:t xml:space="preserve"> </w:t>
      </w:r>
    </w:p>
    <w:p w14:paraId="0B52D613" w14:textId="77777777" w:rsidR="00EE679E" w:rsidRDefault="003E2DC9" w:rsidP="00670620">
      <w:pPr>
        <w:pStyle w:val="ListParagraph"/>
        <w:numPr>
          <w:ilvl w:val="0"/>
          <w:numId w:val="20"/>
        </w:numPr>
        <w:jc w:val="both"/>
      </w:pPr>
      <w:r w:rsidRPr="008B3305">
        <w:rPr>
          <w:b/>
        </w:rPr>
        <w:t xml:space="preserve">Cloud Service </w:t>
      </w:r>
      <w:r w:rsidR="00EE679E" w:rsidRPr="00EE679E">
        <w:rPr>
          <w:b/>
        </w:rPr>
        <w:t>Provider (</w:t>
      </w:r>
      <w:r w:rsidRPr="008B3305">
        <w:rPr>
          <w:b/>
        </w:rPr>
        <w:t>IaaS):</w:t>
      </w:r>
      <w:r>
        <w:t xml:space="preserve"> </w:t>
      </w:r>
      <w:r w:rsidR="00EE679E">
        <w:t xml:space="preserve"> Providing the infrastructure services with a contractual relationship with </w:t>
      </w:r>
      <w:r w:rsidR="009D3D7B">
        <w:t>the Cloud</w:t>
      </w:r>
      <w:r w:rsidR="00EE679E">
        <w:t xml:space="preserve"> Service </w:t>
      </w:r>
      <w:r w:rsidR="009D3D7B">
        <w:t>Provider (</w:t>
      </w:r>
      <w:r w:rsidR="009F64EB">
        <w:t>SaaS/P</w:t>
      </w:r>
      <w:r w:rsidR="00EE679E">
        <w:t>aaS</w:t>
      </w:r>
      <w:r w:rsidR="009D3D7B">
        <w:t>) only</w:t>
      </w:r>
      <w:r w:rsidR="00EE679E">
        <w:t>.</w:t>
      </w:r>
    </w:p>
    <w:p w14:paraId="03EB3FF8" w14:textId="77777777" w:rsidR="00E44827" w:rsidRDefault="009D3D7B" w:rsidP="008B3305">
      <w:pPr>
        <w:jc w:val="both"/>
      </w:pPr>
      <w:r>
        <w:t>In Scenario 1 the operational and contractual interactions follow the same path.</w:t>
      </w:r>
      <w:r w:rsidR="00077A13" w:rsidRPr="00077A13">
        <w:t xml:space="preserve"> </w:t>
      </w:r>
      <w:r w:rsidR="00077A13">
        <w:t xml:space="preserve">In this scenario both Cloud Service Providers </w:t>
      </w:r>
      <w:r w:rsidR="00077A13" w:rsidRPr="006C1ABD">
        <w:rPr>
          <w:i/>
        </w:rPr>
        <w:t>could</w:t>
      </w:r>
      <w:r w:rsidR="00077A13">
        <w:t xml:space="preserve"> be the same organization.</w:t>
      </w:r>
      <w:r w:rsidR="00164870">
        <w:t xml:space="preserve">  </w:t>
      </w:r>
    </w:p>
    <w:p w14:paraId="7301AEE2" w14:textId="77777777" w:rsidR="00E44827" w:rsidRDefault="00E44827">
      <w:r>
        <w:br w:type="page"/>
      </w:r>
    </w:p>
    <w:p w14:paraId="4B64EB76" w14:textId="77777777" w:rsidR="009D3D7B" w:rsidRDefault="00014A8C" w:rsidP="009D3D7B">
      <w:pPr>
        <w:jc w:val="both"/>
        <w:rPr>
          <w:b/>
        </w:rPr>
      </w:pPr>
      <w:r>
        <w:rPr>
          <w:b/>
          <w:noProof/>
        </w:rPr>
        <mc:AlternateContent>
          <mc:Choice Requires="wps">
            <w:drawing>
              <wp:anchor distT="0" distB="0" distL="114300" distR="114300" simplePos="0" relativeHeight="251658253" behindDoc="0" locked="0" layoutInCell="1" allowOverlap="1" wp14:anchorId="366830B4" wp14:editId="562142A1">
                <wp:simplePos x="0" y="0"/>
                <wp:positionH relativeFrom="column">
                  <wp:posOffset>3413125</wp:posOffset>
                </wp:positionH>
                <wp:positionV relativeFrom="paragraph">
                  <wp:posOffset>174625</wp:posOffset>
                </wp:positionV>
                <wp:extent cx="1038225" cy="1356995"/>
                <wp:effectExtent l="0" t="0" r="28575" b="1460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135699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06295A7" w14:textId="77777777" w:rsidR="00FA39D6" w:rsidRDefault="00FA39D6" w:rsidP="002B267E">
                            <w:pPr>
                              <w:jc w:val="center"/>
                            </w:pPr>
                            <w:r>
                              <w:t>Cloud Service Provider</w:t>
                            </w:r>
                          </w:p>
                          <w:p w14:paraId="4114009C" w14:textId="77777777" w:rsidR="00FA39D6" w:rsidRDefault="00FA39D6" w:rsidP="002B267E">
                            <w:pPr>
                              <w:jc w:val="center"/>
                            </w:pPr>
                            <w:r>
                              <w:t>SaaS/PaaS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830B4" id="Rounded Rectangle 21" o:spid="_x0000_s1035" style="position:absolute;left:0;text-align:left;margin-left:268.75pt;margin-top:13.75pt;width:81.75pt;height:106.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" fillcolor="#5b9bd5" strokecolor="#41719c" strokeweight="1pt">
                <v:stroke joinstyle="miter"/>
                <v:path arrowok="t"/>
                <v:textbox>
                  <w:txbxContent>
                    <w:p w14:paraId="606295A7" w14:textId="77777777" w:rsidR="00FA39D6" w:rsidRDefault="00FA39D6" w:rsidP="002B267E">
                      <w:pPr>
                        <w:jc w:val="center"/>
                      </w:pPr>
                      <w:r>
                        <w:t>Cloud Service Provider</w:t>
                      </w:r>
                    </w:p>
                    <w:p w14:paraId="4114009C" w14:textId="77777777" w:rsidR="00FA39D6" w:rsidRDefault="00FA39D6" w:rsidP="002B267E">
                      <w:pPr>
                        <w:jc w:val="center"/>
                      </w:pPr>
                      <w:r>
                        <w:t>SaaS/PaaS</w:t>
                      </w:r>
                    </w:p>
                  </w:txbxContent>
                </v:textbox>
              </v:roundrect>
            </w:pict>
          </mc:Fallback>
        </mc:AlternateContent>
      </w:r>
      <w:r>
        <w:rPr>
          <w:b/>
          <w:noProof/>
        </w:rPr>
        <mc:AlternateContent>
          <mc:Choice Requires="wps">
            <w:drawing>
              <wp:anchor distT="0" distB="0" distL="114300" distR="114300" simplePos="0" relativeHeight="251658254" behindDoc="0" locked="0" layoutInCell="1" allowOverlap="1" wp14:anchorId="55060124" wp14:editId="62669612">
                <wp:simplePos x="0" y="0"/>
                <wp:positionH relativeFrom="column">
                  <wp:posOffset>4655820</wp:posOffset>
                </wp:positionH>
                <wp:positionV relativeFrom="paragraph">
                  <wp:posOffset>163195</wp:posOffset>
                </wp:positionV>
                <wp:extent cx="978535" cy="1356995"/>
                <wp:effectExtent l="0" t="0" r="12065" b="1460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535" cy="135699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257BF42" w14:textId="77777777" w:rsidR="00FA39D6" w:rsidRDefault="00FA39D6" w:rsidP="002B267E">
                            <w:pPr>
                              <w:jc w:val="center"/>
                            </w:pPr>
                            <w:r>
                              <w:t>Cloud Service Provider</w:t>
                            </w:r>
                          </w:p>
                          <w:p w14:paraId="6B5110B4" w14:textId="77777777" w:rsidR="00FA39D6" w:rsidRDefault="00FA39D6" w:rsidP="002B267E">
                            <w:pPr>
                              <w:jc w:val="center"/>
                            </w:pPr>
                            <w:r>
                              <w:t>IaaS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60124" id="Rounded Rectangle 22" o:spid="_x0000_s1036" style="position:absolute;left:0;text-align:left;margin-left:366.6pt;margin-top:12.85pt;width:77.05pt;height:106.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" fillcolor="#5b9bd5" strokecolor="#41719c" strokeweight="1pt">
                <v:stroke joinstyle="miter"/>
                <v:path arrowok="t"/>
                <v:textbox>
                  <w:txbxContent>
                    <w:p w14:paraId="3257BF42" w14:textId="77777777" w:rsidR="00FA39D6" w:rsidRDefault="00FA39D6" w:rsidP="002B267E">
                      <w:pPr>
                        <w:jc w:val="center"/>
                      </w:pPr>
                      <w:r>
                        <w:t>Cloud Service Provider</w:t>
                      </w:r>
                    </w:p>
                    <w:p w14:paraId="6B5110B4" w14:textId="77777777" w:rsidR="00FA39D6" w:rsidRDefault="00FA39D6" w:rsidP="002B267E">
                      <w:pPr>
                        <w:jc w:val="center"/>
                      </w:pPr>
                      <w:r>
                        <w:t>IaaS</w:t>
                      </w:r>
                    </w:p>
                  </w:txbxContent>
                </v:textbox>
              </v:roundrect>
            </w:pict>
          </mc:Fallback>
        </mc:AlternateContent>
      </w:r>
      <w:r w:rsidR="009D3D7B" w:rsidRPr="008B3305">
        <w:rPr>
          <w:b/>
        </w:rPr>
        <w:t>Scenario 2</w:t>
      </w:r>
    </w:p>
    <w:p w14:paraId="79A9DE56" w14:textId="77777777" w:rsidR="002B267E" w:rsidRDefault="00014A8C" w:rsidP="008B3305">
      <w:pPr>
        <w:tabs>
          <w:tab w:val="left" w:pos="7553"/>
        </w:tabs>
        <w:jc w:val="both"/>
        <w:rPr>
          <w:b/>
        </w:rPr>
      </w:pPr>
      <w:r>
        <w:rPr>
          <w:b/>
          <w:noProof/>
        </w:rPr>
        <mc:AlternateContent>
          <mc:Choice Requires="wps">
            <w:drawing>
              <wp:anchor distT="0" distB="0" distL="114300" distR="114300" simplePos="0" relativeHeight="251658252" behindDoc="0" locked="0" layoutInCell="1" allowOverlap="1" wp14:anchorId="14982222" wp14:editId="2B6233EA">
                <wp:simplePos x="0" y="0"/>
                <wp:positionH relativeFrom="column">
                  <wp:posOffset>1581785</wp:posOffset>
                </wp:positionH>
                <wp:positionV relativeFrom="paragraph">
                  <wp:posOffset>177800</wp:posOffset>
                </wp:positionV>
                <wp:extent cx="1578610" cy="642620"/>
                <wp:effectExtent l="0" t="0" r="21590" b="24130"/>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8610" cy="64262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18DAF8D" w14:textId="77777777" w:rsidR="00FA39D6" w:rsidRDefault="00FA39D6" w:rsidP="002B267E">
                            <w:pPr>
                              <w:jc w:val="center"/>
                            </w:pPr>
                            <w:r>
                              <w:t>Cloud Service C</w:t>
                            </w:r>
                            <w:r w:rsidRPr="007D46FA">
                              <w:t>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4982222" id="Rounded Rectangle 20" o:spid="_x0000_s1037" style="position:absolute;left:0;text-align:left;margin-left:124.55pt;margin-top:14pt;width:124.3pt;height:50.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" fillcolor="#5b9bd5" strokecolor="#41719c" strokeweight="1pt">
                <v:stroke joinstyle="miter"/>
                <v:path arrowok="t"/>
                <v:textbox>
                  <w:txbxContent>
                    <w:p w14:paraId="718DAF8D" w14:textId="77777777" w:rsidR="00FA39D6" w:rsidRDefault="00FA39D6" w:rsidP="002B267E">
                      <w:pPr>
                        <w:jc w:val="center"/>
                      </w:pPr>
                      <w:r>
                        <w:t>Cloud Service C</w:t>
                      </w:r>
                      <w:r w:rsidRPr="007D46FA">
                        <w:t>ustomer</w:t>
                      </w:r>
                    </w:p>
                  </w:txbxContent>
                </v:textbox>
              </v:roundrect>
            </w:pict>
          </mc:Fallback>
        </mc:AlternateContent>
      </w:r>
      <w:r w:rsidR="002B267E">
        <w:rPr>
          <w:b/>
        </w:rPr>
        <w:tab/>
      </w:r>
    </w:p>
    <w:p w14:paraId="04C38C98" w14:textId="77777777" w:rsidR="002B267E" w:rsidRDefault="00014A8C" w:rsidP="009D3D7B">
      <w:pPr>
        <w:jc w:val="both"/>
        <w:rPr>
          <w:b/>
        </w:rPr>
      </w:pPr>
      <w:r>
        <w:rPr>
          <w:b/>
          <w:noProof/>
        </w:rPr>
        <mc:AlternateContent>
          <mc:Choice Requires="wps">
            <w:drawing>
              <wp:anchor distT="0" distB="0" distL="114300" distR="114300" simplePos="0" relativeHeight="251658256" behindDoc="0" locked="0" layoutInCell="1" allowOverlap="1" wp14:anchorId="716E6F5F" wp14:editId="34B387C6">
                <wp:simplePos x="0" y="0"/>
                <wp:positionH relativeFrom="column">
                  <wp:posOffset>4332605</wp:posOffset>
                </wp:positionH>
                <wp:positionV relativeFrom="paragraph">
                  <wp:posOffset>216535</wp:posOffset>
                </wp:positionV>
                <wp:extent cx="517525" cy="94615"/>
                <wp:effectExtent l="19050" t="19050" r="15875" b="38735"/>
                <wp:wrapNone/>
                <wp:docPr id="24" name="Left-right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525" cy="94615"/>
                        </a:xfrm>
                        <a:prstGeom prst="lef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1945103" id="Left-Right Arrow 24" o:spid="_x0000_s1026" type="#_x0000_t69" style="position:absolute;margin-left:341.15pt;margin-top:17.05pt;width:40.75pt;height: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" adj="1974" fillcolor="windowText" strokecolor="#41719c" strokeweight="1pt">
                <v:path arrowok="t"/>
              </v:shape>
            </w:pict>
          </mc:Fallback>
        </mc:AlternateContent>
      </w:r>
      <w:r>
        <w:rPr>
          <w:b/>
          <w:noProof/>
        </w:rPr>
        <mc:AlternateContent>
          <mc:Choice Requires="wps">
            <w:drawing>
              <wp:anchor distT="0" distB="0" distL="114300" distR="114300" simplePos="0" relativeHeight="251658255" behindDoc="0" locked="0" layoutInCell="1" allowOverlap="1" wp14:anchorId="666C7EEF" wp14:editId="6B4E8604">
                <wp:simplePos x="0" y="0"/>
                <wp:positionH relativeFrom="column">
                  <wp:posOffset>3047365</wp:posOffset>
                </wp:positionH>
                <wp:positionV relativeFrom="paragraph">
                  <wp:posOffset>184785</wp:posOffset>
                </wp:positionV>
                <wp:extent cx="517525" cy="94615"/>
                <wp:effectExtent l="19050" t="19050" r="15875" b="38735"/>
                <wp:wrapNone/>
                <wp:docPr id="23" name="Left-righ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525" cy="94615"/>
                        </a:xfrm>
                        <a:prstGeom prst="lef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DF42887" id="Left-Right Arrow 23" o:spid="_x0000_s1026" type="#_x0000_t69" style="position:absolute;margin-left:239.95pt;margin-top:14.55pt;width:40.75pt;height: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" adj="1974" fillcolor="windowText" strokecolor="#41719c" strokeweight="1pt">
                <v:path arrowok="t"/>
              </v:shape>
            </w:pict>
          </mc:Fallback>
        </mc:AlternateContent>
      </w:r>
    </w:p>
    <w:p w14:paraId="5CF566BA" w14:textId="77777777" w:rsidR="002B267E" w:rsidRDefault="00014A8C" w:rsidP="009D3D7B">
      <w:pPr>
        <w:jc w:val="both"/>
        <w:rPr>
          <w:b/>
        </w:rPr>
      </w:pPr>
      <w:r>
        <w:rPr>
          <w:b/>
          <w:noProof/>
        </w:rPr>
        <mc:AlternateContent>
          <mc:Choice Requires="wps">
            <w:drawing>
              <wp:anchor distT="0" distB="0" distL="114300" distR="114300" simplePos="0" relativeHeight="251658258" behindDoc="0" locked="0" layoutInCell="1" allowOverlap="1" wp14:anchorId="3E783692" wp14:editId="24D26744">
                <wp:simplePos x="0" y="0"/>
                <wp:positionH relativeFrom="column">
                  <wp:posOffset>2355215</wp:posOffset>
                </wp:positionH>
                <wp:positionV relativeFrom="paragraph">
                  <wp:posOffset>147320</wp:posOffset>
                </wp:positionV>
                <wp:extent cx="120650" cy="671830"/>
                <wp:effectExtent l="19050" t="19050" r="31750" b="33020"/>
                <wp:wrapNone/>
                <wp:docPr id="26" name="Up-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671830"/>
                        </a:xfrm>
                        <a:prstGeom prst="up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FD0D30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6" o:spid="_x0000_s1026" type="#_x0000_t70" style="position:absolute;margin-left:185.45pt;margin-top:11.6pt;width:9.5pt;height:5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" adj=",1940" fillcolor="black [3213]" strokecolor="#1f4d78 [1604]" strokeweight="1pt">
                <v:path arrowok="t"/>
              </v:shape>
            </w:pict>
          </mc:Fallback>
        </mc:AlternateContent>
      </w:r>
    </w:p>
    <w:p w14:paraId="4D72E0A9" w14:textId="77777777" w:rsidR="002B267E" w:rsidRDefault="00014A8C" w:rsidP="009D3D7B">
      <w:pPr>
        <w:jc w:val="both"/>
        <w:rPr>
          <w:b/>
        </w:rPr>
      </w:pPr>
      <w:r>
        <w:rPr>
          <w:b/>
          <w:noProof/>
        </w:rPr>
        <mc:AlternateContent>
          <mc:Choice Requires="wps">
            <w:drawing>
              <wp:anchor distT="0" distB="0" distL="114300" distR="114300" simplePos="0" relativeHeight="251658263" behindDoc="0" locked="0" layoutInCell="1" allowOverlap="1" wp14:anchorId="36D06895" wp14:editId="7448DD8A">
                <wp:simplePos x="0" y="0"/>
                <wp:positionH relativeFrom="column">
                  <wp:posOffset>2736850</wp:posOffset>
                </wp:positionH>
                <wp:positionV relativeFrom="paragraph">
                  <wp:posOffset>120650</wp:posOffset>
                </wp:positionV>
                <wp:extent cx="1036955" cy="129540"/>
                <wp:effectExtent l="301308" t="0" r="312102" b="0"/>
                <wp:wrapNone/>
                <wp:docPr id="19" name="Left-right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7947479">
                          <a:off x="0" y="0"/>
                          <a:ext cx="1036955" cy="129540"/>
                        </a:xfrm>
                        <a:prstGeom prst="leftRightArrow">
                          <a:avLst/>
                        </a:prstGeom>
                        <a:solidFill>
                          <a:schemeClr val="bg1">
                            <a:lumMod val="75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BC1BCDA" id="Left-Right Arrow 19" o:spid="_x0000_s1026" type="#_x0000_t69" style="position:absolute;margin-left:215.5pt;margin-top:9.5pt;width:81.65pt;height:10.2pt;rotation:8680766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" adj="1349" fillcolor="#bfbfbf [2412]" strokecolor="#41719c" strokeweight="1pt">
                <v:path arrowok="t"/>
              </v:shape>
            </w:pict>
          </mc:Fallback>
        </mc:AlternateContent>
      </w:r>
    </w:p>
    <w:p w14:paraId="4B218D3C" w14:textId="701A2F51" w:rsidR="002B267E" w:rsidRDefault="00014A8C" w:rsidP="009D3D7B">
      <w:pPr>
        <w:jc w:val="both"/>
        <w:rPr>
          <w:b/>
        </w:rPr>
      </w:pPr>
      <w:r>
        <w:rPr>
          <w:b/>
          <w:noProof/>
        </w:rPr>
        <mc:AlternateContent>
          <mc:Choice Requires="wps">
            <w:drawing>
              <wp:anchor distT="0" distB="0" distL="114300" distR="114300" simplePos="0" relativeHeight="251658264" behindDoc="0" locked="0" layoutInCell="1" allowOverlap="1" wp14:anchorId="2A67E6ED" wp14:editId="3796198F">
                <wp:simplePos x="0" y="0"/>
                <wp:positionH relativeFrom="column">
                  <wp:posOffset>2881630</wp:posOffset>
                </wp:positionH>
                <wp:positionV relativeFrom="paragraph">
                  <wp:posOffset>130810</wp:posOffset>
                </wp:positionV>
                <wp:extent cx="2075180" cy="116205"/>
                <wp:effectExtent l="0" t="381000" r="0" b="379095"/>
                <wp:wrapNone/>
                <wp:docPr id="30" name="Left-right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9534311">
                          <a:off x="0" y="0"/>
                          <a:ext cx="2075180" cy="116205"/>
                        </a:xfrm>
                        <a:prstGeom prst="leftRightArrow">
                          <a:avLst/>
                        </a:prstGeom>
                        <a:solidFill>
                          <a:schemeClr val="bg1">
                            <a:lumMod val="75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489C79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0" o:spid="_x0000_s1026" type="#_x0000_t69" style="position:absolute;margin-left:226.9pt;margin-top:10.3pt;width:163.4pt;height:9.15pt;rotation:10414010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" adj="605" fillcolor="#bfbfbf [2412]" strokecolor="#41719c" strokeweight="1pt">
                <v:path arrowok="t"/>
              </v:shape>
            </w:pict>
          </mc:Fallback>
        </mc:AlternateContent>
      </w:r>
      <w:r>
        <w:rPr>
          <w:b/>
          <w:noProof/>
        </w:rPr>
        <mc:AlternateContent>
          <mc:Choice Requires="wps">
            <w:drawing>
              <wp:anchor distT="0" distB="0" distL="114300" distR="114300" simplePos="0" relativeHeight="251658257" behindDoc="0" locked="0" layoutInCell="1" allowOverlap="1" wp14:anchorId="43FDA758" wp14:editId="7509A405">
                <wp:simplePos x="0" y="0"/>
                <wp:positionH relativeFrom="column">
                  <wp:posOffset>1535430</wp:posOffset>
                </wp:positionH>
                <wp:positionV relativeFrom="paragraph">
                  <wp:posOffset>104140</wp:posOffset>
                </wp:positionV>
                <wp:extent cx="1578610" cy="631190"/>
                <wp:effectExtent l="0" t="0" r="21590" b="16510"/>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8610" cy="63119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995BA08" w14:textId="77777777" w:rsidR="00FA39D6" w:rsidRDefault="00FA39D6" w:rsidP="002B267E">
                            <w:pPr>
                              <w:jc w:val="center"/>
                            </w:pPr>
                            <w:r>
                              <w:t>Cloud Service Broker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3FDA758" id="Rounded Rectangle 25" o:spid="_x0000_s1038" style="position:absolute;left:0;text-align:left;margin-left:120.9pt;margin-top:8.2pt;width:124.3pt;height:49.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" fillcolor="#5b9bd5" strokecolor="#41719c" strokeweight="1pt">
                <v:stroke joinstyle="miter"/>
                <v:path arrowok="t"/>
                <v:textbox>
                  <w:txbxContent>
                    <w:p w14:paraId="5995BA08" w14:textId="77777777" w:rsidR="00FA39D6" w:rsidRDefault="00FA39D6" w:rsidP="002B267E">
                      <w:pPr>
                        <w:jc w:val="center"/>
                      </w:pPr>
                      <w:r>
                        <w:t>Cloud Service Broker</w:t>
                      </w:r>
                    </w:p>
                  </w:txbxContent>
                </v:textbox>
              </v:roundrect>
            </w:pict>
          </mc:Fallback>
        </mc:AlternateContent>
      </w:r>
    </w:p>
    <w:p w14:paraId="61340878" w14:textId="77777777" w:rsidR="002B267E" w:rsidRDefault="002B267E" w:rsidP="009D3D7B">
      <w:pPr>
        <w:jc w:val="both"/>
        <w:rPr>
          <w:b/>
        </w:rPr>
      </w:pPr>
    </w:p>
    <w:p w14:paraId="2435BCFC" w14:textId="77777777" w:rsidR="002B267E" w:rsidRDefault="002B267E" w:rsidP="009D3D7B">
      <w:pPr>
        <w:jc w:val="both"/>
        <w:rPr>
          <w:b/>
        </w:rPr>
      </w:pPr>
    </w:p>
    <w:p w14:paraId="3C9FDDC6" w14:textId="679DCD52" w:rsidR="00D63C86" w:rsidRPr="00D63C86" w:rsidRDefault="00B31771" w:rsidP="00B31771">
      <w:pPr>
        <w:pStyle w:val="Caption"/>
      </w:pPr>
      <w:r>
        <w:t xml:space="preserve">Figure </w:t>
      </w:r>
      <w:r w:rsidR="00D512BA">
        <w:fldChar w:fldCharType="begin"/>
      </w:r>
      <w:r w:rsidR="00D512BA">
        <w:instrText xml:space="preserve"> SEQ Figure \* ARABIC </w:instrText>
      </w:r>
      <w:r w:rsidR="00D512BA">
        <w:fldChar w:fldCharType="separate"/>
      </w:r>
      <w:r w:rsidR="0080580B">
        <w:rPr>
          <w:noProof/>
        </w:rPr>
        <w:t>4</w:t>
      </w:r>
      <w:r w:rsidR="00D512BA">
        <w:rPr>
          <w:noProof/>
        </w:rPr>
        <w:fldChar w:fldCharType="end"/>
      </w:r>
      <w:r>
        <w:t>: Scenario 2 example</w:t>
      </w:r>
    </w:p>
    <w:p w14:paraId="5C0BC0AE" w14:textId="77777777" w:rsidR="009D3D7B" w:rsidRDefault="009D3D7B" w:rsidP="00670620">
      <w:pPr>
        <w:pStyle w:val="ListParagraph"/>
        <w:numPr>
          <w:ilvl w:val="0"/>
          <w:numId w:val="20"/>
        </w:numPr>
        <w:jc w:val="both"/>
      </w:pPr>
      <w:r w:rsidRPr="00125C33">
        <w:rPr>
          <w:b/>
        </w:rPr>
        <w:t>Cloud Service Customer</w:t>
      </w:r>
      <w:r>
        <w:t>: a pharmaceutical company,</w:t>
      </w:r>
      <w:r w:rsidR="00D57BCC">
        <w:t xml:space="preserve"> who has</w:t>
      </w:r>
      <w:r>
        <w:t xml:space="preserve"> a contractual relationship </w:t>
      </w:r>
      <w:r w:rsidR="00AF08A9">
        <w:t xml:space="preserve">(shown by the black arrows) </w:t>
      </w:r>
      <w:r>
        <w:t>with th</w:t>
      </w:r>
      <w:r w:rsidR="008014F3">
        <w:t>e Cloud Service Provider (SaaS/P</w:t>
      </w:r>
      <w:r>
        <w:t>aaS) and the Cloud Service Broker</w:t>
      </w:r>
      <w:r w:rsidR="00D57BCC">
        <w:t>.</w:t>
      </w:r>
    </w:p>
    <w:p w14:paraId="49EBC58D" w14:textId="77777777" w:rsidR="009D3D7B" w:rsidRDefault="008014F3" w:rsidP="00670620">
      <w:pPr>
        <w:pStyle w:val="ListParagraph"/>
        <w:numPr>
          <w:ilvl w:val="0"/>
          <w:numId w:val="20"/>
        </w:numPr>
        <w:jc w:val="both"/>
      </w:pPr>
      <w:r>
        <w:rPr>
          <w:b/>
        </w:rPr>
        <w:t>Cloud Service Provider (S</w:t>
      </w:r>
      <w:r w:rsidR="009D3D7B" w:rsidRPr="00125C33">
        <w:rPr>
          <w:b/>
        </w:rPr>
        <w:t>aaS/</w:t>
      </w:r>
      <w:r>
        <w:rPr>
          <w:b/>
        </w:rPr>
        <w:t>P</w:t>
      </w:r>
      <w:r w:rsidR="009D3D7B" w:rsidRPr="00125C33">
        <w:rPr>
          <w:b/>
        </w:rPr>
        <w:t>aaS</w:t>
      </w:r>
      <w:r w:rsidR="009D3D7B">
        <w:t xml:space="preserve">): a service provider who is providing the service to the </w:t>
      </w:r>
      <w:r w:rsidR="00D57BCC">
        <w:t xml:space="preserve">Cloud Service </w:t>
      </w:r>
      <w:r w:rsidR="00AF08A9">
        <w:t xml:space="preserve">Customer (shown by the black arrows). </w:t>
      </w:r>
      <w:r w:rsidR="009D3D7B">
        <w:t>This provider would have a direct contractual relationship with the customer and with the Cloud Service Provider</w:t>
      </w:r>
      <w:r w:rsidR="00AF08A9">
        <w:t xml:space="preserve"> </w:t>
      </w:r>
      <w:r w:rsidR="009D3D7B">
        <w:t xml:space="preserve">(IaaS) </w:t>
      </w:r>
      <w:r w:rsidR="00AF08A9">
        <w:t>and, additionally, is subject to the operational controls of the Cloud Service Broker (shown by the gray arrows).</w:t>
      </w:r>
    </w:p>
    <w:p w14:paraId="7506931A" w14:textId="77777777" w:rsidR="009D3D7B" w:rsidRDefault="009D3D7B" w:rsidP="00670620">
      <w:pPr>
        <w:pStyle w:val="ListParagraph"/>
        <w:numPr>
          <w:ilvl w:val="0"/>
          <w:numId w:val="20"/>
        </w:numPr>
        <w:jc w:val="both"/>
      </w:pPr>
      <w:r w:rsidRPr="00125C33">
        <w:rPr>
          <w:b/>
        </w:rPr>
        <w:t>Cloud Service Provider (IaaS):</w:t>
      </w:r>
      <w:r>
        <w:t xml:space="preserve">  Providing the infrastructure services with a contractual relationship with the Cloud Service Provider (</w:t>
      </w:r>
      <w:r w:rsidR="00AF08A9">
        <w:t>SaaS/PaaS) only and is subject to the operational controls of the Cloud Service Broker (shown by the gray arrows).</w:t>
      </w:r>
    </w:p>
    <w:p w14:paraId="18464755" w14:textId="77777777" w:rsidR="009D3D7B" w:rsidRDefault="009D3D7B" w:rsidP="00670620">
      <w:pPr>
        <w:pStyle w:val="ListParagraph"/>
        <w:numPr>
          <w:ilvl w:val="0"/>
          <w:numId w:val="20"/>
        </w:numPr>
        <w:jc w:val="both"/>
      </w:pPr>
      <w:r w:rsidRPr="00125C33">
        <w:rPr>
          <w:b/>
        </w:rPr>
        <w:t>Cloud Service</w:t>
      </w:r>
      <w:r>
        <w:rPr>
          <w:b/>
        </w:rPr>
        <w:t xml:space="preserve"> Broker</w:t>
      </w:r>
      <w:r w:rsidR="00AF08A9">
        <w:t xml:space="preserve">: An </w:t>
      </w:r>
      <w:r>
        <w:t xml:space="preserve">intermediary </w:t>
      </w:r>
      <w:r w:rsidR="00AF08A9">
        <w:t>entity that</w:t>
      </w:r>
      <w:r>
        <w:t xml:space="preserve"> has been delegated the </w:t>
      </w:r>
      <w:r w:rsidR="00AF08A9">
        <w:t>operational responsibilities over the Cloud Service Providers by the Cloud Service Customer.</w:t>
      </w:r>
    </w:p>
    <w:p w14:paraId="5B2B3728" w14:textId="2D1C26A4" w:rsidR="00433C16" w:rsidRDefault="009D3D7B" w:rsidP="009D3D7B">
      <w:pPr>
        <w:jc w:val="both"/>
      </w:pPr>
      <w:r>
        <w:t>In Scenario 2 the operational and contractual</w:t>
      </w:r>
      <w:r w:rsidR="003549C2">
        <w:t xml:space="preserve"> interactions follow different paths with operational interactions </w:t>
      </w:r>
      <w:r w:rsidR="00AF08A9">
        <w:t xml:space="preserve">(shown by the gray arrows) </w:t>
      </w:r>
      <w:r w:rsidR="003549C2">
        <w:t xml:space="preserve">between the Broker, Provider (PaaS/SaaS) and Provider (IaaS). </w:t>
      </w:r>
      <w:r w:rsidR="00EF53F7">
        <w:t xml:space="preserve"> </w:t>
      </w:r>
      <w:r w:rsidR="00600757">
        <w:t>Again,</w:t>
      </w:r>
      <w:r w:rsidR="00EF53F7">
        <w:t xml:space="preserve"> both Cloud Service Providers could be the same organization. </w:t>
      </w:r>
    </w:p>
    <w:p w14:paraId="46162C72" w14:textId="2C5B0F4B" w:rsidR="000403C8" w:rsidRDefault="000403C8">
      <w:r>
        <w:br w:type="page"/>
      </w:r>
    </w:p>
    <w:p w14:paraId="3C668464" w14:textId="77777777" w:rsidR="009D3D7B" w:rsidRDefault="009D3D7B" w:rsidP="009D3D7B">
      <w:pPr>
        <w:jc w:val="both"/>
      </w:pPr>
    </w:p>
    <w:p w14:paraId="5BB3F105" w14:textId="77777777" w:rsidR="00077A13" w:rsidRDefault="00014A8C" w:rsidP="00077A13">
      <w:pPr>
        <w:jc w:val="both"/>
        <w:rPr>
          <w:b/>
        </w:rPr>
      </w:pPr>
      <w:r>
        <w:rPr>
          <w:b/>
          <w:noProof/>
        </w:rPr>
        <mc:AlternateContent>
          <mc:Choice Requires="wps">
            <w:drawing>
              <wp:anchor distT="0" distB="0" distL="114300" distR="114300" simplePos="0" relativeHeight="251658240" behindDoc="0" locked="0" layoutInCell="1" allowOverlap="1" wp14:anchorId="0DE657D8" wp14:editId="58C4AF0B">
                <wp:simplePos x="0" y="0"/>
                <wp:positionH relativeFrom="column">
                  <wp:posOffset>1257300</wp:posOffset>
                </wp:positionH>
                <wp:positionV relativeFrom="paragraph">
                  <wp:posOffset>120650</wp:posOffset>
                </wp:positionV>
                <wp:extent cx="1578610" cy="642620"/>
                <wp:effectExtent l="0" t="0" r="21590" b="2413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8610" cy="64262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EBE5699" w14:textId="77777777" w:rsidR="00FA39D6" w:rsidRDefault="00FA39D6" w:rsidP="000D0249">
                            <w:pPr>
                              <w:jc w:val="center"/>
                            </w:pPr>
                            <w:r>
                              <w:t>Cloud Service C</w:t>
                            </w:r>
                            <w:r w:rsidRPr="007D46FA">
                              <w:t>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DE657D8" id="Rounded Rectangle 17" o:spid="_x0000_s1039" style="position:absolute;left:0;text-align:left;margin-left:99pt;margin-top:9.5pt;width:124.3pt;height: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" fillcolor="#5b9bd5" strokecolor="#41719c" strokeweight="1pt">
                <v:stroke joinstyle="miter"/>
                <v:path arrowok="t"/>
                <v:textbox>
                  <w:txbxContent>
                    <w:p w14:paraId="2EBE5699" w14:textId="77777777" w:rsidR="00FA39D6" w:rsidRDefault="00FA39D6" w:rsidP="000D0249">
                      <w:pPr>
                        <w:jc w:val="center"/>
                      </w:pPr>
                      <w:r>
                        <w:t>Cloud Service C</w:t>
                      </w:r>
                      <w:r w:rsidRPr="007D46FA">
                        <w:t>ustomer</w:t>
                      </w:r>
                    </w:p>
                  </w:txbxContent>
                </v:textbox>
              </v:roundrect>
            </w:pict>
          </mc:Fallback>
        </mc:AlternateContent>
      </w:r>
      <w:r w:rsidR="00077A13" w:rsidRPr="00125C33">
        <w:rPr>
          <w:b/>
        </w:rPr>
        <w:t>Scenario</w:t>
      </w:r>
      <w:r w:rsidR="00077A13">
        <w:rPr>
          <w:b/>
        </w:rPr>
        <w:t xml:space="preserve"> 3</w:t>
      </w:r>
    </w:p>
    <w:p w14:paraId="21324454" w14:textId="77777777" w:rsidR="00F534FD" w:rsidRDefault="00F534FD" w:rsidP="00077A13">
      <w:pPr>
        <w:jc w:val="both"/>
        <w:rPr>
          <w:b/>
        </w:rPr>
      </w:pPr>
    </w:p>
    <w:p w14:paraId="2074197E" w14:textId="77777777" w:rsidR="00F534FD" w:rsidRDefault="00014A8C" w:rsidP="00077A13">
      <w:pPr>
        <w:jc w:val="both"/>
        <w:rPr>
          <w:b/>
        </w:rPr>
      </w:pPr>
      <w:r>
        <w:rPr>
          <w:b/>
          <w:noProof/>
        </w:rPr>
        <mc:AlternateContent>
          <mc:Choice Requires="wps">
            <w:drawing>
              <wp:anchor distT="0" distB="0" distL="114300" distR="114300" simplePos="0" relativeHeight="251658260" behindDoc="0" locked="0" layoutInCell="1" allowOverlap="1" wp14:anchorId="0C7C0DF8" wp14:editId="0E3095D3">
                <wp:simplePos x="0" y="0"/>
                <wp:positionH relativeFrom="column">
                  <wp:posOffset>3657600</wp:posOffset>
                </wp:positionH>
                <wp:positionV relativeFrom="paragraph">
                  <wp:posOffset>6350</wp:posOffset>
                </wp:positionV>
                <wp:extent cx="1578610" cy="830580"/>
                <wp:effectExtent l="0" t="0" r="21590" b="2667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8610" cy="8305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9BB303A" w14:textId="77777777" w:rsidR="00FA39D6" w:rsidRDefault="00FA39D6" w:rsidP="00F534FD">
                            <w:pPr>
                              <w:jc w:val="center"/>
                            </w:pPr>
                            <w:r>
                              <w:t>Cloud Service provider</w:t>
                            </w:r>
                          </w:p>
                          <w:p w14:paraId="0D35EB41" w14:textId="77777777" w:rsidR="00FA39D6" w:rsidRDefault="00FA39D6" w:rsidP="00F534FD">
                            <w:pPr>
                              <w:jc w:val="center"/>
                            </w:pPr>
                            <w:r>
                              <w:t>IaaS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C7C0DF8" id="Rounded Rectangle 28" o:spid="_x0000_s1040" style="position:absolute;left:0;text-align:left;margin-left:4in;margin-top:.5pt;width:124.3pt;height:65.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" fillcolor="#5b9bd5" strokecolor="#41719c" strokeweight="1pt">
                <v:stroke joinstyle="miter"/>
                <v:path arrowok="t"/>
                <v:textbox>
                  <w:txbxContent>
                    <w:p w14:paraId="29BB303A" w14:textId="77777777" w:rsidR="00FA39D6" w:rsidRDefault="00FA39D6" w:rsidP="00F534FD">
                      <w:pPr>
                        <w:jc w:val="center"/>
                      </w:pPr>
                      <w:r>
                        <w:t>Cloud Service provider</w:t>
                      </w:r>
                    </w:p>
                    <w:p w14:paraId="0D35EB41" w14:textId="77777777" w:rsidR="00FA39D6" w:rsidRDefault="00FA39D6" w:rsidP="00F534FD">
                      <w:pPr>
                        <w:jc w:val="center"/>
                      </w:pPr>
                      <w:r>
                        <w:t>IaaS</w:t>
                      </w:r>
                    </w:p>
                  </w:txbxContent>
                </v:textbox>
              </v:roundrect>
            </w:pict>
          </mc:Fallback>
        </mc:AlternateContent>
      </w:r>
      <w:r>
        <w:rPr>
          <w:b/>
          <w:noProof/>
        </w:rPr>
        <mc:AlternateContent>
          <mc:Choice Requires="wps">
            <w:drawing>
              <wp:anchor distT="0" distB="0" distL="114300" distR="114300" simplePos="0" relativeHeight="251658259" behindDoc="0" locked="0" layoutInCell="1" allowOverlap="1" wp14:anchorId="78F07200" wp14:editId="3B526C9A">
                <wp:simplePos x="0" y="0"/>
                <wp:positionH relativeFrom="column">
                  <wp:posOffset>1828800</wp:posOffset>
                </wp:positionH>
                <wp:positionV relativeFrom="paragraph">
                  <wp:posOffset>6350</wp:posOffset>
                </wp:positionV>
                <wp:extent cx="1578610" cy="830580"/>
                <wp:effectExtent l="0" t="0" r="21590" b="2667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8610" cy="8305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8CF1FAB" w14:textId="77777777" w:rsidR="00FA39D6" w:rsidRDefault="00FA39D6" w:rsidP="00F534FD">
                            <w:pPr>
                              <w:jc w:val="center"/>
                            </w:pPr>
                            <w:r>
                              <w:t>Cloud Service Provider</w:t>
                            </w:r>
                          </w:p>
                          <w:p w14:paraId="4CFEAFC6" w14:textId="77777777" w:rsidR="00FA39D6" w:rsidRDefault="00FA39D6" w:rsidP="00F534FD">
                            <w:pPr>
                              <w:jc w:val="center"/>
                            </w:pPr>
                            <w:r>
                              <w:t>SaaS/PaaS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8F07200" id="Rounded Rectangle 27" o:spid="_x0000_s1041" style="position:absolute;left:0;text-align:left;margin-left:2in;margin-top:.5pt;width:124.3pt;height:65.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" fillcolor="#5b9bd5" strokecolor="#41719c" strokeweight="1pt">
                <v:stroke joinstyle="miter"/>
                <v:path arrowok="t"/>
                <v:textbox>
                  <w:txbxContent>
                    <w:p w14:paraId="48CF1FAB" w14:textId="77777777" w:rsidR="00FA39D6" w:rsidRDefault="00FA39D6" w:rsidP="00F534FD">
                      <w:pPr>
                        <w:jc w:val="center"/>
                      </w:pPr>
                      <w:r>
                        <w:t>Cloud Service Provider</w:t>
                      </w:r>
                    </w:p>
                    <w:p w14:paraId="4CFEAFC6" w14:textId="77777777" w:rsidR="00FA39D6" w:rsidRDefault="00FA39D6" w:rsidP="00F534FD">
                      <w:pPr>
                        <w:jc w:val="center"/>
                      </w:pPr>
                      <w:r>
                        <w:t>SaaS/PaaS</w:t>
                      </w:r>
                    </w:p>
                  </w:txbxContent>
                </v:textbox>
              </v:roundrect>
            </w:pict>
          </mc:Fallback>
        </mc:AlternateContent>
      </w:r>
      <w:r>
        <w:rPr>
          <w:b/>
          <w:noProof/>
        </w:rPr>
        <mc:AlternateContent>
          <mc:Choice Requires="wps">
            <w:drawing>
              <wp:anchor distT="0" distB="0" distL="114300" distR="114300" simplePos="0" relativeHeight="251658262" behindDoc="0" locked="0" layoutInCell="1" allowOverlap="1" wp14:anchorId="641D1A7F" wp14:editId="4B8E7013">
                <wp:simplePos x="0" y="0"/>
                <wp:positionH relativeFrom="column">
                  <wp:posOffset>1448435</wp:posOffset>
                </wp:positionH>
                <wp:positionV relativeFrom="paragraph">
                  <wp:posOffset>169545</wp:posOffset>
                </wp:positionV>
                <wp:extent cx="517525" cy="94615"/>
                <wp:effectExtent l="0" t="152400" r="0" b="153035"/>
                <wp:wrapNone/>
                <wp:docPr id="18" name="Left-right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573757">
                          <a:off x="0" y="0"/>
                          <a:ext cx="517525" cy="94615"/>
                        </a:xfrm>
                        <a:prstGeom prst="leftRightArrow">
                          <a:avLst/>
                        </a:prstGeom>
                        <a:solidFill>
                          <a:schemeClr val="accent4"/>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36DDCBB" id="Left-Right Arrow 18" o:spid="_x0000_s1026" type="#_x0000_t69" style="position:absolute;margin-left:114.05pt;margin-top:13.35pt;width:40.75pt;height:7.45pt;rotation:2811229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" adj="1974" fillcolor="#ffc000 [3207]" strokecolor="#41719c" strokeweight="1pt">
                <v:path arrowok="t"/>
              </v:shape>
            </w:pict>
          </mc:Fallback>
        </mc:AlternateContent>
      </w:r>
      <w:r>
        <w:rPr>
          <w:b/>
          <w:noProof/>
        </w:rPr>
        <mc:AlternateContent>
          <mc:Choice Requires="wps">
            <w:drawing>
              <wp:anchor distT="0" distB="0" distL="114300" distR="114300" simplePos="0" relativeHeight="251658261" behindDoc="0" locked="0" layoutInCell="1" allowOverlap="1" wp14:anchorId="326E5EFF" wp14:editId="4F3F2B29">
                <wp:simplePos x="0" y="0"/>
                <wp:positionH relativeFrom="column">
                  <wp:posOffset>3303270</wp:posOffset>
                </wp:positionH>
                <wp:positionV relativeFrom="paragraph">
                  <wp:posOffset>254635</wp:posOffset>
                </wp:positionV>
                <wp:extent cx="517525" cy="94615"/>
                <wp:effectExtent l="19050" t="19050" r="15875" b="38735"/>
                <wp:wrapNone/>
                <wp:docPr id="29" name="Left-right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525" cy="94615"/>
                        </a:xfrm>
                        <a:prstGeom prst="lef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91E57A8" id="Left-Right Arrow 29" o:spid="_x0000_s1026" type="#_x0000_t69" style="position:absolute;margin-left:260.1pt;margin-top:20.05pt;width:40.75pt;height:7.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" adj="1974" fillcolor="windowText" strokecolor="#41719c" strokeweight="1pt">
                <v:path arrowok="t"/>
              </v:shape>
            </w:pict>
          </mc:Fallback>
        </mc:AlternateContent>
      </w:r>
    </w:p>
    <w:p w14:paraId="2102BB7C" w14:textId="77777777" w:rsidR="00F534FD" w:rsidRDefault="00F534FD" w:rsidP="00077A13">
      <w:pPr>
        <w:jc w:val="both"/>
        <w:rPr>
          <w:b/>
        </w:rPr>
      </w:pPr>
    </w:p>
    <w:p w14:paraId="00DF4D2E" w14:textId="77777777" w:rsidR="000D0249" w:rsidRDefault="000D0249" w:rsidP="000D0249">
      <w:pPr>
        <w:pStyle w:val="Caption"/>
        <w:rPr>
          <w:rFonts w:asciiTheme="minorHAnsi" w:hAnsiTheme="minorHAnsi"/>
          <w:b w:val="0"/>
          <w:bCs w:val="0"/>
          <w:sz w:val="22"/>
          <w:szCs w:val="22"/>
        </w:rPr>
      </w:pPr>
    </w:p>
    <w:p w14:paraId="11A09BFB" w14:textId="6847728A" w:rsidR="00F534FD" w:rsidRPr="000D0249" w:rsidRDefault="00B31771" w:rsidP="00B31771">
      <w:pPr>
        <w:pStyle w:val="Caption"/>
      </w:pPr>
      <w:r>
        <w:t xml:space="preserve">Figure </w:t>
      </w:r>
      <w:r w:rsidR="00D512BA">
        <w:fldChar w:fldCharType="begin"/>
      </w:r>
      <w:r w:rsidR="00D512BA">
        <w:instrText xml:space="preserve"> SEQ Figure \* ARABIC </w:instrText>
      </w:r>
      <w:r w:rsidR="00D512BA">
        <w:fldChar w:fldCharType="separate"/>
      </w:r>
      <w:r w:rsidR="0080580B">
        <w:rPr>
          <w:noProof/>
        </w:rPr>
        <w:t>5</w:t>
      </w:r>
      <w:r w:rsidR="00D512BA">
        <w:rPr>
          <w:noProof/>
        </w:rPr>
        <w:fldChar w:fldCharType="end"/>
      </w:r>
      <w:r>
        <w:t>: Scenario 3 example</w:t>
      </w:r>
    </w:p>
    <w:p w14:paraId="598C9D7D" w14:textId="77777777" w:rsidR="00077A13" w:rsidRDefault="00077A13" w:rsidP="00670620">
      <w:pPr>
        <w:pStyle w:val="ListParagraph"/>
        <w:numPr>
          <w:ilvl w:val="0"/>
          <w:numId w:val="20"/>
        </w:numPr>
        <w:jc w:val="both"/>
      </w:pPr>
      <w:r w:rsidRPr="00125C33">
        <w:rPr>
          <w:b/>
        </w:rPr>
        <w:t>Cloud Service Customer</w:t>
      </w:r>
      <w:r>
        <w:t>: a pharmaceutical company who is consum</w:t>
      </w:r>
      <w:r w:rsidR="00F06B42">
        <w:t>ing a service provided by th</w:t>
      </w:r>
      <w:r w:rsidR="001277C8">
        <w:t>e company’s own IT organization (that is operating as a SaaS/PaaS provider).</w:t>
      </w:r>
    </w:p>
    <w:p w14:paraId="02829753" w14:textId="77777777" w:rsidR="00077A13" w:rsidRDefault="000D0249" w:rsidP="00670620">
      <w:pPr>
        <w:pStyle w:val="ListParagraph"/>
        <w:numPr>
          <w:ilvl w:val="0"/>
          <w:numId w:val="20"/>
        </w:numPr>
        <w:jc w:val="both"/>
      </w:pPr>
      <w:r>
        <w:rPr>
          <w:b/>
        </w:rPr>
        <w:t>Cloud Service Provider (SaaS/P</w:t>
      </w:r>
      <w:r w:rsidR="00077A13" w:rsidRPr="00125C33">
        <w:rPr>
          <w:b/>
        </w:rPr>
        <w:t>aaS</w:t>
      </w:r>
      <w:r w:rsidR="00077A13">
        <w:rPr>
          <w:b/>
        </w:rPr>
        <w:t>)</w:t>
      </w:r>
      <w:r w:rsidR="00767E50">
        <w:rPr>
          <w:b/>
        </w:rPr>
        <w:t>:</w:t>
      </w:r>
      <w:r w:rsidR="00077A13" w:rsidRPr="00077A13">
        <w:t xml:space="preserve"> </w:t>
      </w:r>
      <w:r w:rsidR="00077A13">
        <w:t>a pharmaceutical company internal IT organization who is using a Cloud Service Provider (</w:t>
      </w:r>
      <w:r w:rsidR="00BC1F5C">
        <w:t>IaaS) to provide</w:t>
      </w:r>
      <w:r w:rsidR="00077A13">
        <w:t xml:space="preserve"> an externally hosted private cloud</w:t>
      </w:r>
      <w:r w:rsidR="00BC1F5C">
        <w:t xml:space="preserve">.  This pharmaceutical company IT organization </w:t>
      </w:r>
      <w:r w:rsidR="00077A13">
        <w:t xml:space="preserve">would have a direct contractual relationship with the Cloud Service </w:t>
      </w:r>
      <w:r w:rsidR="00CA5DAD">
        <w:t>Provider (</w:t>
      </w:r>
      <w:r w:rsidR="00077A13">
        <w:t>IaaS) and</w:t>
      </w:r>
      <w:r w:rsidR="001277C8">
        <w:t>,</w:t>
      </w:r>
      <w:r w:rsidR="00077A13">
        <w:t xml:space="preserve"> </w:t>
      </w:r>
      <w:r w:rsidR="00CA5DAD">
        <w:t>typically</w:t>
      </w:r>
      <w:r w:rsidR="001277C8">
        <w:t>,</w:t>
      </w:r>
      <w:r w:rsidR="00CA5DAD">
        <w:t xml:space="preserve"> an </w:t>
      </w:r>
      <w:r w:rsidR="00077A13">
        <w:t>SLA with their internal</w:t>
      </w:r>
      <w:r w:rsidR="00BC1F5C">
        <w:t xml:space="preserve"> business</w:t>
      </w:r>
      <w:r w:rsidR="00077A13">
        <w:t xml:space="preserve"> customers</w:t>
      </w:r>
      <w:r w:rsidR="001277C8">
        <w:t xml:space="preserve"> (shown as the yellow arrow).</w:t>
      </w:r>
    </w:p>
    <w:p w14:paraId="66F3EAEB" w14:textId="3CE08F4E" w:rsidR="00077A13" w:rsidRDefault="004C1989" w:rsidP="00670620">
      <w:pPr>
        <w:pStyle w:val="ListParagraph"/>
        <w:numPr>
          <w:ilvl w:val="0"/>
          <w:numId w:val="20"/>
        </w:numPr>
        <w:jc w:val="both"/>
      </w:pPr>
      <w:r w:rsidRPr="00125C33">
        <w:rPr>
          <w:b/>
        </w:rPr>
        <w:t xml:space="preserve"> </w:t>
      </w:r>
      <w:r w:rsidR="00077A13" w:rsidRPr="00125C33">
        <w:rPr>
          <w:b/>
        </w:rPr>
        <w:t>Cloud Service Provider (IaaS):</w:t>
      </w:r>
      <w:r w:rsidR="00077A13">
        <w:t xml:space="preserve">  Providing the base infrastructure services with a contractual relationship with th</w:t>
      </w:r>
      <w:r w:rsidR="001277C8">
        <w:t>e Cloud Service Provider (SaaS/P</w:t>
      </w:r>
      <w:r w:rsidR="00077A13">
        <w:t>aaS)</w:t>
      </w:r>
      <w:r w:rsidR="001277C8">
        <w:t>.</w:t>
      </w:r>
      <w:r w:rsidR="00077A13">
        <w:t xml:space="preserve"> </w:t>
      </w:r>
    </w:p>
    <w:p w14:paraId="36883A2D" w14:textId="77777777" w:rsidR="00F26A24" w:rsidRDefault="00077A13">
      <w:pPr>
        <w:jc w:val="both"/>
      </w:pPr>
      <w:r>
        <w:t>In Scenario 3</w:t>
      </w:r>
      <w:r w:rsidR="00CA5DAD">
        <w:t xml:space="preserve"> the contractual relationship is between the</w:t>
      </w:r>
      <w:r w:rsidR="00CA5DAD" w:rsidRPr="00CA5DAD">
        <w:t xml:space="preserve"> </w:t>
      </w:r>
      <w:r w:rsidR="00F760C0">
        <w:t>pharmaceutical company</w:t>
      </w:r>
      <w:r w:rsidR="00CA5DAD">
        <w:t xml:space="preserve"> and the Cloud Service Provider (IaaS). </w:t>
      </w:r>
      <w:r w:rsidR="00F760C0">
        <w:t>All o</w:t>
      </w:r>
      <w:r w:rsidR="00CA5DAD">
        <w:t>perational interactions are the responsibility of the internal IT organization of the pharmaceutical company.</w:t>
      </w:r>
    </w:p>
    <w:p w14:paraId="74F960C8" w14:textId="77777777" w:rsidR="000403C8" w:rsidRDefault="000403C8">
      <w:pPr>
        <w:jc w:val="both"/>
      </w:pPr>
    </w:p>
    <w:p w14:paraId="63271B47" w14:textId="77777777" w:rsidR="004C1989" w:rsidRDefault="004C1989" w:rsidP="004C1989">
      <w:pPr>
        <w:pStyle w:val="Heading4"/>
      </w:pPr>
      <w:bookmarkStart w:id="23" w:name="_Toc138311611"/>
      <w:r>
        <w:t>Examples by Role</w:t>
      </w:r>
      <w:bookmarkEnd w:id="23"/>
    </w:p>
    <w:p w14:paraId="1A87D67F" w14:textId="43F1C97E" w:rsidR="000403C8" w:rsidRDefault="00D968BB" w:rsidP="00D968BB">
      <w:r>
        <w:t>Below are examples of the activities that may be performed by each key role.  This detailed table needs to be interpreted carefully because more-than one organizational party may undertake the roles of the left-most column.  Conversely, a single organizational entity may also fulfill roles and responsibilities spanning the Cloud Service Customer/Cloud Service Broker/Cloud Service Provider “layers”.</w:t>
      </w:r>
    </w:p>
    <w:p w14:paraId="23CB800F" w14:textId="48D6AB85" w:rsidR="000403C8" w:rsidRDefault="00993913" w:rsidP="00D968BB">
      <w:r>
        <w:rPr>
          <w:noProof/>
        </w:rPr>
        <mc:AlternateContent>
          <mc:Choice Requires="wps">
            <w:drawing>
              <wp:anchor distT="0" distB="0" distL="114300" distR="114300" simplePos="0" relativeHeight="251658267" behindDoc="0" locked="0" layoutInCell="1" allowOverlap="1" wp14:anchorId="4870FBE1" wp14:editId="23E73FB9">
                <wp:simplePos x="0" y="0"/>
                <wp:positionH relativeFrom="column">
                  <wp:posOffset>1177290</wp:posOffset>
                </wp:positionH>
                <wp:positionV relativeFrom="paragraph">
                  <wp:posOffset>61595</wp:posOffset>
                </wp:positionV>
                <wp:extent cx="3316605" cy="633730"/>
                <wp:effectExtent l="0" t="0" r="17145" b="13970"/>
                <wp:wrapSquare wrapText="bothSides"/>
                <wp:docPr id="13" name="Text Box 13"/>
                <wp:cNvGraphicFramePr/>
                <a:graphic xmlns:a="http://schemas.openxmlformats.org/drawingml/2006/main">
                  <a:graphicData uri="http://schemas.microsoft.com/office/word/2010/wordprocessingShape">
                    <wps:wsp>
                      <wps:cNvSpPr txBox="1"/>
                      <wps:spPr>
                        <a:xfrm>
                          <a:off x="0" y="0"/>
                          <a:ext cx="3316605" cy="63373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4ECE41F" w14:textId="77777777" w:rsidR="00FA39D6" w:rsidRPr="00805E15" w:rsidRDefault="00FA39D6" w:rsidP="00993913">
                            <w:pPr>
                              <w:rPr>
                                <w:i/>
                                <w:color w:val="2E74B5" w:themeColor="accent1" w:themeShade="BF"/>
                              </w:rPr>
                            </w:pPr>
                            <w:r w:rsidRPr="00805E15">
                              <w:rPr>
                                <w:i/>
                                <w:color w:val="2E74B5" w:themeColor="accent1" w:themeShade="BF"/>
                              </w:rPr>
                              <w:t xml:space="preserve">Qualification: Most cloud providers do not use the term qualification. Yet, in practice they are following the processes included in the </w:t>
                            </w:r>
                            <w:proofErr w:type="spellStart"/>
                            <w:r w:rsidRPr="00805E15">
                              <w:rPr>
                                <w:i/>
                                <w:color w:val="2E74B5" w:themeColor="accent1" w:themeShade="BF"/>
                              </w:rPr>
                              <w:t>GxP</w:t>
                            </w:r>
                            <w:proofErr w:type="spellEnd"/>
                            <w:r w:rsidRPr="00805E15">
                              <w:rPr>
                                <w:i/>
                                <w:color w:val="2E74B5" w:themeColor="accent1" w:themeShade="BF"/>
                              </w:rPr>
                              <w:t xml:space="preserve"> term “qualification”. </w:t>
                            </w:r>
                          </w:p>
                          <w:p w14:paraId="4EF84E3B" w14:textId="77777777" w:rsidR="00FA39D6" w:rsidRPr="009B4C6B" w:rsidRDefault="00FA39D6" w:rsidP="00993913">
                            <w:pPr>
                              <w:pStyle w:val="ListNumber"/>
                              <w:numPr>
                                <w:ilvl w:val="0"/>
                                <w:numId w:val="0"/>
                              </w:numPr>
                              <w:rPr>
                                <w:i/>
                                <w:color w:val="2E74B5" w:themeColor="accen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70FBE1" id="Text Box 13" o:spid="_x0000_s1042" type="#_x0000_t202" style="position:absolute;margin-left:92.7pt;margin-top:4.85pt;width:261.15pt;height:49.9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" filled="f" strokecolor="#5b9bd5 [3204]">
                <v:textbox>
                  <w:txbxContent>
                    <w:p w14:paraId="44ECE41F" w14:textId="77777777" w:rsidR="00FA39D6" w:rsidRPr="00805E15" w:rsidRDefault="00FA39D6" w:rsidP="00993913">
                      <w:pPr>
                        <w:rPr>
                          <w:i/>
                          <w:color w:val="2E74B5" w:themeColor="accent1" w:themeShade="BF"/>
                        </w:rPr>
                      </w:pPr>
                      <w:r w:rsidRPr="00805E15">
                        <w:rPr>
                          <w:i/>
                          <w:color w:val="2E74B5" w:themeColor="accent1" w:themeShade="BF"/>
                        </w:rPr>
                        <w:t xml:space="preserve">Qualification: Most cloud providers do not use the term qualification. Yet, in practice they are following the processes included in the </w:t>
                      </w:r>
                      <w:proofErr w:type="spellStart"/>
                      <w:r w:rsidRPr="00805E15">
                        <w:rPr>
                          <w:i/>
                          <w:color w:val="2E74B5" w:themeColor="accent1" w:themeShade="BF"/>
                        </w:rPr>
                        <w:t>GxP</w:t>
                      </w:r>
                      <w:proofErr w:type="spellEnd"/>
                      <w:r w:rsidRPr="00805E15">
                        <w:rPr>
                          <w:i/>
                          <w:color w:val="2E74B5" w:themeColor="accent1" w:themeShade="BF"/>
                        </w:rPr>
                        <w:t xml:space="preserve"> term “qualification”. </w:t>
                      </w:r>
                    </w:p>
                    <w:p w14:paraId="4EF84E3B" w14:textId="77777777" w:rsidR="00FA39D6" w:rsidRPr="009B4C6B" w:rsidRDefault="00FA39D6" w:rsidP="00993913">
                      <w:pPr>
                        <w:pStyle w:val="ListNumber"/>
                        <w:numPr>
                          <w:ilvl w:val="0"/>
                          <w:numId w:val="0"/>
                        </w:numPr>
                        <w:rPr>
                          <w:i/>
                          <w:color w:val="2E74B5" w:themeColor="accent1" w:themeShade="BF"/>
                        </w:rPr>
                      </w:pPr>
                    </w:p>
                  </w:txbxContent>
                </v:textbox>
                <w10:wrap type="square"/>
              </v:shape>
            </w:pict>
          </mc:Fallback>
        </mc:AlternateContent>
      </w:r>
    </w:p>
    <w:p w14:paraId="50FC8CB3" w14:textId="1B91F0FC" w:rsidR="000403C8" w:rsidRDefault="000403C8" w:rsidP="00D968BB"/>
    <w:p w14:paraId="03AE9349" w14:textId="77777777" w:rsidR="000403C8" w:rsidRDefault="000403C8" w:rsidP="00D968BB"/>
    <w:p w14:paraId="5B550C58" w14:textId="56E57AE2" w:rsidR="000403C8" w:rsidRDefault="00993913" w:rsidP="00D968BB">
      <w:r>
        <w:rPr>
          <w:noProof/>
        </w:rPr>
        <mc:AlternateContent>
          <mc:Choice Requires="wps">
            <w:drawing>
              <wp:anchor distT="0" distB="0" distL="114300" distR="114300" simplePos="0" relativeHeight="251658266" behindDoc="0" locked="0" layoutInCell="1" allowOverlap="1" wp14:anchorId="0E5862C5" wp14:editId="16360CDB">
                <wp:simplePos x="0" y="0"/>
                <wp:positionH relativeFrom="column">
                  <wp:posOffset>1170305</wp:posOffset>
                </wp:positionH>
                <wp:positionV relativeFrom="paragraph">
                  <wp:posOffset>33655</wp:posOffset>
                </wp:positionV>
                <wp:extent cx="3316605" cy="878205"/>
                <wp:effectExtent l="0" t="0" r="17145" b="17145"/>
                <wp:wrapSquare wrapText="bothSides"/>
                <wp:docPr id="12" name="Text Box 12"/>
                <wp:cNvGraphicFramePr/>
                <a:graphic xmlns:a="http://schemas.openxmlformats.org/drawingml/2006/main">
                  <a:graphicData uri="http://schemas.microsoft.com/office/word/2010/wordprocessingShape">
                    <wps:wsp>
                      <wps:cNvSpPr txBox="1"/>
                      <wps:spPr>
                        <a:xfrm>
                          <a:off x="0" y="0"/>
                          <a:ext cx="3316605" cy="878205"/>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2DDD7AD" w14:textId="6CD67D20" w:rsidR="00FA39D6" w:rsidRPr="009B4C6B" w:rsidRDefault="00FA39D6" w:rsidP="000403C8">
                            <w:pPr>
                              <w:pStyle w:val="ListNumber"/>
                              <w:numPr>
                                <w:ilvl w:val="0"/>
                                <w:numId w:val="0"/>
                              </w:numPr>
                              <w:jc w:val="both"/>
                              <w:rPr>
                                <w:i/>
                                <w:color w:val="2E74B5" w:themeColor="accent1" w:themeShade="BF"/>
                              </w:rPr>
                            </w:pPr>
                            <w:r>
                              <w:rPr>
                                <w:i/>
                                <w:color w:val="2E74B5" w:themeColor="accent1" w:themeShade="BF"/>
                              </w:rPr>
                              <w:t xml:space="preserve">General Audit Activities in the Cloud Supply Chain should be conducted. </w:t>
                            </w:r>
                            <w:r w:rsidRPr="009B4C6B">
                              <w:rPr>
                                <w:i/>
                                <w:color w:val="2E74B5" w:themeColor="accent1" w:themeShade="BF"/>
                              </w:rPr>
                              <w:t>For furt</w:t>
                            </w:r>
                            <w:r>
                              <w:rPr>
                                <w:i/>
                                <w:color w:val="2E74B5" w:themeColor="accent1" w:themeShade="BF"/>
                              </w:rPr>
                              <w:t>her details</w:t>
                            </w:r>
                            <w:r w:rsidRPr="009B4C6B">
                              <w:rPr>
                                <w:i/>
                                <w:color w:val="2E74B5" w:themeColor="accent1" w:themeShade="BF"/>
                              </w:rPr>
                              <w:t>, see separate document from the Pharmaceutical User Software Exchange (P</w:t>
                            </w:r>
                            <w:r w:rsidR="00D512BA">
                              <w:rPr>
                                <w:i/>
                                <w:color w:val="2E74B5" w:themeColor="accent1" w:themeShade="BF"/>
                              </w:rPr>
                              <w:t>H</w:t>
                            </w:r>
                            <w:r w:rsidRPr="009B4C6B">
                              <w:rPr>
                                <w:i/>
                                <w:color w:val="2E74B5" w:themeColor="accent1" w:themeShade="BF"/>
                              </w:rPr>
                              <w:t xml:space="preserve">USE), Cloud Services – </w:t>
                            </w:r>
                            <w:r>
                              <w:rPr>
                                <w:i/>
                                <w:color w:val="2E74B5" w:themeColor="accent1" w:themeShade="BF"/>
                              </w:rPr>
                              <w:t>Audit Activities</w:t>
                            </w:r>
                            <w:r w:rsidRPr="009B4C6B">
                              <w:rPr>
                                <w:i/>
                                <w:color w:val="2E74B5" w:themeColor="accent1" w:themeShade="B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862C5" id="Text Box 12" o:spid="_x0000_s1043" type="#_x0000_t202" style="position:absolute;margin-left:92.15pt;margin-top:2.65pt;width:261.15pt;height:69.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" filled="f" strokecolor="#5b9bd5 [3204]">
                <v:textbox>
                  <w:txbxContent>
                    <w:p w14:paraId="62DDD7AD" w14:textId="6CD67D20" w:rsidR="00FA39D6" w:rsidRPr="009B4C6B" w:rsidRDefault="00FA39D6" w:rsidP="000403C8">
                      <w:pPr>
                        <w:pStyle w:val="ListNumber"/>
                        <w:numPr>
                          <w:ilvl w:val="0"/>
                          <w:numId w:val="0"/>
                        </w:numPr>
                        <w:jc w:val="both"/>
                        <w:rPr>
                          <w:i/>
                          <w:color w:val="2E74B5" w:themeColor="accent1" w:themeShade="BF"/>
                        </w:rPr>
                      </w:pPr>
                      <w:r>
                        <w:rPr>
                          <w:i/>
                          <w:color w:val="2E74B5" w:themeColor="accent1" w:themeShade="BF"/>
                        </w:rPr>
                        <w:t xml:space="preserve">General Audit Activities in the Cloud Supply Chain should be conducted. </w:t>
                      </w:r>
                      <w:r w:rsidRPr="009B4C6B">
                        <w:rPr>
                          <w:i/>
                          <w:color w:val="2E74B5" w:themeColor="accent1" w:themeShade="BF"/>
                        </w:rPr>
                        <w:t>For furt</w:t>
                      </w:r>
                      <w:r>
                        <w:rPr>
                          <w:i/>
                          <w:color w:val="2E74B5" w:themeColor="accent1" w:themeShade="BF"/>
                        </w:rPr>
                        <w:t>her details</w:t>
                      </w:r>
                      <w:r w:rsidRPr="009B4C6B">
                        <w:rPr>
                          <w:i/>
                          <w:color w:val="2E74B5" w:themeColor="accent1" w:themeShade="BF"/>
                        </w:rPr>
                        <w:t>, see separate document from the Pharmaceutical User Software Exchange (P</w:t>
                      </w:r>
                      <w:r w:rsidR="00D512BA">
                        <w:rPr>
                          <w:i/>
                          <w:color w:val="2E74B5" w:themeColor="accent1" w:themeShade="BF"/>
                        </w:rPr>
                        <w:t>H</w:t>
                      </w:r>
                      <w:r w:rsidRPr="009B4C6B">
                        <w:rPr>
                          <w:i/>
                          <w:color w:val="2E74B5" w:themeColor="accent1" w:themeShade="BF"/>
                        </w:rPr>
                        <w:t xml:space="preserve">USE), Cloud Services – </w:t>
                      </w:r>
                      <w:r>
                        <w:rPr>
                          <w:i/>
                          <w:color w:val="2E74B5" w:themeColor="accent1" w:themeShade="BF"/>
                        </w:rPr>
                        <w:t>Audit Activities</w:t>
                      </w:r>
                      <w:r w:rsidRPr="009B4C6B">
                        <w:rPr>
                          <w:i/>
                          <w:color w:val="2E74B5" w:themeColor="accent1" w:themeShade="BF"/>
                        </w:rPr>
                        <w:t xml:space="preserve"> </w:t>
                      </w:r>
                    </w:p>
                  </w:txbxContent>
                </v:textbox>
                <w10:wrap type="square"/>
              </v:shape>
            </w:pict>
          </mc:Fallback>
        </mc:AlternateContent>
      </w:r>
    </w:p>
    <w:p w14:paraId="68C767FB" w14:textId="321804C9" w:rsidR="000403C8" w:rsidRDefault="000403C8" w:rsidP="00D968BB"/>
    <w:p w14:paraId="33E8EDF1" w14:textId="3235D97E" w:rsidR="000403C8" w:rsidRDefault="000403C8" w:rsidP="00D968BB"/>
    <w:p w14:paraId="09FCFF29" w14:textId="5516728E" w:rsidR="000403C8" w:rsidRDefault="000403C8" w:rsidP="00D968BB"/>
    <w:p w14:paraId="1DF91C8A" w14:textId="77777777" w:rsidR="000403C8" w:rsidRDefault="000403C8" w:rsidP="00D968BB"/>
    <w:tbl>
      <w:tblPr>
        <w:tblStyle w:val="TableGrid"/>
        <w:tblpPr w:leftFromText="180" w:rightFromText="180" w:vertAnchor="text" w:horzAnchor="page" w:tblpX="1488" w:tblpY="500"/>
        <w:tblW w:w="9345" w:type="dxa"/>
        <w:tblLook w:val="04A0" w:firstRow="1" w:lastRow="0" w:firstColumn="1" w:lastColumn="0" w:noHBand="0" w:noVBand="1"/>
      </w:tblPr>
      <w:tblGrid>
        <w:gridCol w:w="1560"/>
        <w:gridCol w:w="2551"/>
        <w:gridCol w:w="2552"/>
        <w:gridCol w:w="2682"/>
      </w:tblGrid>
      <w:tr w:rsidR="00805E15" w:rsidRPr="00AF7FC3" w14:paraId="12E75ABE" w14:textId="77777777" w:rsidTr="006819AF">
        <w:trPr>
          <w:tblHeader/>
        </w:trPr>
        <w:tc>
          <w:tcPr>
            <w:tcW w:w="1560" w:type="dxa"/>
            <w:tcBorders>
              <w:top w:val="nil"/>
              <w:left w:val="nil"/>
              <w:bottom w:val="single" w:sz="4" w:space="0" w:color="auto"/>
            </w:tcBorders>
            <w:shd w:val="clear" w:color="auto" w:fill="auto"/>
          </w:tcPr>
          <w:p w14:paraId="247CD437" w14:textId="77777777" w:rsidR="00805E15" w:rsidRPr="00AF7FC3" w:rsidRDefault="00805E15" w:rsidP="006819AF">
            <w:pPr>
              <w:rPr>
                <w:sz w:val="20"/>
                <w:szCs w:val="20"/>
              </w:rPr>
            </w:pPr>
          </w:p>
        </w:tc>
        <w:tc>
          <w:tcPr>
            <w:tcW w:w="2551" w:type="dxa"/>
            <w:shd w:val="clear" w:color="auto" w:fill="5B9BD5" w:themeFill="accent1"/>
          </w:tcPr>
          <w:p w14:paraId="63E61766" w14:textId="77777777" w:rsidR="00805E15" w:rsidRPr="00AF7FC3" w:rsidRDefault="00805E15" w:rsidP="006819AF">
            <w:pPr>
              <w:rPr>
                <w:b/>
                <w:color w:val="FFFFFF" w:themeColor="background1"/>
                <w:sz w:val="20"/>
                <w:szCs w:val="20"/>
              </w:rPr>
            </w:pPr>
            <w:r w:rsidRPr="00AF7FC3">
              <w:rPr>
                <w:b/>
                <w:color w:val="FFFFFF" w:themeColor="background1"/>
                <w:sz w:val="20"/>
                <w:szCs w:val="20"/>
              </w:rPr>
              <w:t>IaaS</w:t>
            </w:r>
          </w:p>
        </w:tc>
        <w:tc>
          <w:tcPr>
            <w:tcW w:w="2552" w:type="dxa"/>
            <w:shd w:val="clear" w:color="auto" w:fill="5B9BD5" w:themeFill="accent1"/>
          </w:tcPr>
          <w:p w14:paraId="0D1C8098" w14:textId="77777777" w:rsidR="00805E15" w:rsidRPr="00AF7FC3" w:rsidRDefault="00805E15" w:rsidP="006819AF">
            <w:pPr>
              <w:rPr>
                <w:b/>
                <w:color w:val="FFFFFF" w:themeColor="background1"/>
                <w:sz w:val="20"/>
                <w:szCs w:val="20"/>
              </w:rPr>
            </w:pPr>
            <w:r w:rsidRPr="00AF7FC3">
              <w:rPr>
                <w:b/>
                <w:color w:val="FFFFFF" w:themeColor="background1"/>
                <w:sz w:val="20"/>
                <w:szCs w:val="20"/>
              </w:rPr>
              <w:t>PaaS</w:t>
            </w:r>
          </w:p>
        </w:tc>
        <w:tc>
          <w:tcPr>
            <w:tcW w:w="2682" w:type="dxa"/>
            <w:shd w:val="clear" w:color="auto" w:fill="5B9BD5" w:themeFill="accent1"/>
          </w:tcPr>
          <w:p w14:paraId="197E0736" w14:textId="77777777" w:rsidR="00805E15" w:rsidRPr="00AF7FC3" w:rsidRDefault="00805E15" w:rsidP="006819AF">
            <w:pPr>
              <w:rPr>
                <w:b/>
                <w:color w:val="FFFFFF" w:themeColor="background1"/>
                <w:sz w:val="20"/>
                <w:szCs w:val="20"/>
              </w:rPr>
            </w:pPr>
            <w:r w:rsidRPr="00AF7FC3">
              <w:rPr>
                <w:b/>
                <w:color w:val="FFFFFF" w:themeColor="background1"/>
                <w:sz w:val="20"/>
                <w:szCs w:val="20"/>
              </w:rPr>
              <w:t>SaaS</w:t>
            </w:r>
          </w:p>
        </w:tc>
      </w:tr>
      <w:tr w:rsidR="00805E15" w:rsidRPr="00AF7FC3" w14:paraId="62E3903D" w14:textId="77777777" w:rsidTr="006819AF">
        <w:tc>
          <w:tcPr>
            <w:tcW w:w="1560" w:type="dxa"/>
            <w:shd w:val="clear" w:color="auto" w:fill="5B9BD5" w:themeFill="accent1"/>
            <w:vAlign w:val="center"/>
          </w:tcPr>
          <w:p w14:paraId="5090E05F" w14:textId="77777777" w:rsidR="00805E15" w:rsidRPr="00AF7FC3" w:rsidRDefault="00805E15" w:rsidP="006819AF">
            <w:pPr>
              <w:rPr>
                <w:b/>
                <w:sz w:val="20"/>
                <w:szCs w:val="20"/>
              </w:rPr>
            </w:pPr>
            <w:r w:rsidRPr="00AF7FC3">
              <w:rPr>
                <w:b/>
                <w:sz w:val="20"/>
                <w:szCs w:val="20"/>
              </w:rPr>
              <w:t>Cloud Service Customer</w:t>
            </w:r>
          </w:p>
        </w:tc>
        <w:tc>
          <w:tcPr>
            <w:tcW w:w="2551" w:type="dxa"/>
            <w:shd w:val="clear" w:color="auto" w:fill="auto"/>
          </w:tcPr>
          <w:p w14:paraId="60FC82F0" w14:textId="70A2FADA" w:rsidR="00805E15" w:rsidRPr="00AF7FC3" w:rsidRDefault="00805E15" w:rsidP="006819AF">
            <w:pPr>
              <w:rPr>
                <w:sz w:val="20"/>
                <w:szCs w:val="20"/>
              </w:rPr>
            </w:pPr>
            <w:r w:rsidRPr="00AF7FC3">
              <w:rPr>
                <w:sz w:val="20"/>
                <w:szCs w:val="20"/>
              </w:rPr>
              <w:t xml:space="preserve">Manages privileged and/or service </w:t>
            </w:r>
            <w:r w:rsidR="004D7B58" w:rsidRPr="00AF7FC3">
              <w:rPr>
                <w:sz w:val="20"/>
                <w:szCs w:val="20"/>
              </w:rPr>
              <w:t>accounts.</w:t>
            </w:r>
          </w:p>
          <w:p w14:paraId="523816A4" w14:textId="77777777" w:rsidR="00805E15" w:rsidRPr="00AF7FC3" w:rsidRDefault="00805E15" w:rsidP="006819AF">
            <w:pPr>
              <w:rPr>
                <w:sz w:val="20"/>
                <w:szCs w:val="20"/>
              </w:rPr>
            </w:pPr>
          </w:p>
          <w:p w14:paraId="4CC9692B" w14:textId="63A809E5" w:rsidR="00805E15" w:rsidRPr="00AF7FC3" w:rsidRDefault="00805E15" w:rsidP="006819AF">
            <w:pPr>
              <w:rPr>
                <w:sz w:val="20"/>
                <w:szCs w:val="20"/>
              </w:rPr>
            </w:pPr>
            <w:r w:rsidRPr="00AF7FC3">
              <w:rPr>
                <w:sz w:val="20"/>
                <w:szCs w:val="20"/>
              </w:rPr>
              <w:t xml:space="preserve">Defines and manages workflows supporting application </w:t>
            </w:r>
            <w:r w:rsidR="004D7B58" w:rsidRPr="00AF7FC3">
              <w:rPr>
                <w:sz w:val="20"/>
                <w:szCs w:val="20"/>
              </w:rPr>
              <w:t>needs.</w:t>
            </w:r>
          </w:p>
          <w:p w14:paraId="644A409D" w14:textId="77777777" w:rsidR="000403C8" w:rsidRPr="00AF7FC3" w:rsidRDefault="000403C8" w:rsidP="006819AF">
            <w:pPr>
              <w:rPr>
                <w:sz w:val="20"/>
                <w:szCs w:val="20"/>
              </w:rPr>
            </w:pPr>
          </w:p>
          <w:p w14:paraId="23DC7A2B" w14:textId="77777777" w:rsidR="00805E15" w:rsidRPr="00AF7FC3" w:rsidRDefault="00805E15" w:rsidP="006819AF">
            <w:pPr>
              <w:rPr>
                <w:sz w:val="20"/>
                <w:szCs w:val="20"/>
              </w:rPr>
            </w:pPr>
            <w:r w:rsidRPr="00AF7FC3">
              <w:rPr>
                <w:sz w:val="20"/>
                <w:szCs w:val="20"/>
              </w:rPr>
              <w:t>Conducts additional qualification of infrastructure according to intended use</w:t>
            </w:r>
          </w:p>
        </w:tc>
        <w:tc>
          <w:tcPr>
            <w:tcW w:w="2552" w:type="dxa"/>
            <w:shd w:val="clear" w:color="auto" w:fill="auto"/>
          </w:tcPr>
          <w:p w14:paraId="5C47869B" w14:textId="7BF75DF9" w:rsidR="00805E15" w:rsidRPr="00AF7FC3" w:rsidRDefault="00805E15" w:rsidP="006819AF">
            <w:pPr>
              <w:rPr>
                <w:sz w:val="20"/>
                <w:szCs w:val="20"/>
              </w:rPr>
            </w:pPr>
            <w:r w:rsidRPr="00AF7FC3">
              <w:rPr>
                <w:sz w:val="20"/>
                <w:szCs w:val="20"/>
              </w:rPr>
              <w:t>Manages privileged and/or service accounts.</w:t>
            </w:r>
          </w:p>
          <w:p w14:paraId="6C8F9808" w14:textId="77777777" w:rsidR="000403C8" w:rsidRPr="00AF7FC3" w:rsidRDefault="000403C8" w:rsidP="006819AF">
            <w:pPr>
              <w:rPr>
                <w:sz w:val="20"/>
                <w:szCs w:val="20"/>
              </w:rPr>
            </w:pPr>
          </w:p>
          <w:p w14:paraId="107523E0" w14:textId="38C2BCE3" w:rsidR="00805E15" w:rsidRPr="00AF7FC3" w:rsidRDefault="00805E15" w:rsidP="006819AF">
            <w:pPr>
              <w:rPr>
                <w:sz w:val="20"/>
                <w:szCs w:val="20"/>
                <w:shd w:val="clear" w:color="auto" w:fill="FFFF00"/>
              </w:rPr>
            </w:pPr>
            <w:r w:rsidRPr="00AF7FC3">
              <w:rPr>
                <w:sz w:val="20"/>
                <w:szCs w:val="20"/>
              </w:rPr>
              <w:t xml:space="preserve">Defines and manages workflow supporting application </w:t>
            </w:r>
            <w:r w:rsidR="004D7B58" w:rsidRPr="00AF7FC3">
              <w:rPr>
                <w:sz w:val="20"/>
                <w:szCs w:val="20"/>
              </w:rPr>
              <w:t>needs.</w:t>
            </w:r>
          </w:p>
          <w:p w14:paraId="7533EE4F" w14:textId="77777777" w:rsidR="000403C8" w:rsidRPr="00AF7FC3" w:rsidRDefault="000403C8" w:rsidP="006819AF">
            <w:pPr>
              <w:rPr>
                <w:sz w:val="20"/>
                <w:szCs w:val="20"/>
              </w:rPr>
            </w:pPr>
          </w:p>
          <w:p w14:paraId="15475053" w14:textId="5FE8AB10" w:rsidR="00805E15" w:rsidRPr="00AF7FC3" w:rsidRDefault="00805E15" w:rsidP="006819AF">
            <w:pPr>
              <w:rPr>
                <w:sz w:val="20"/>
                <w:szCs w:val="20"/>
              </w:rPr>
            </w:pPr>
            <w:r w:rsidRPr="00AF7FC3">
              <w:rPr>
                <w:sz w:val="20"/>
                <w:szCs w:val="20"/>
              </w:rPr>
              <w:t>Conducts additional qualification of infrastructure- and platform according to intended use</w:t>
            </w:r>
          </w:p>
        </w:tc>
        <w:tc>
          <w:tcPr>
            <w:tcW w:w="2682" w:type="dxa"/>
            <w:shd w:val="clear" w:color="auto" w:fill="auto"/>
          </w:tcPr>
          <w:p w14:paraId="6BE133B3" w14:textId="28C459C0" w:rsidR="00805E15" w:rsidRPr="00AF7FC3" w:rsidRDefault="00805E15" w:rsidP="006819AF">
            <w:pPr>
              <w:rPr>
                <w:sz w:val="20"/>
                <w:szCs w:val="20"/>
              </w:rPr>
            </w:pPr>
            <w:r w:rsidRPr="00AF7FC3">
              <w:rPr>
                <w:sz w:val="20"/>
                <w:szCs w:val="20"/>
              </w:rPr>
              <w:t xml:space="preserve">Manages user accounts and </w:t>
            </w:r>
            <w:r w:rsidR="004D7B58" w:rsidRPr="00AF7FC3">
              <w:rPr>
                <w:sz w:val="20"/>
                <w:szCs w:val="20"/>
              </w:rPr>
              <w:t>roles.</w:t>
            </w:r>
          </w:p>
          <w:p w14:paraId="5BC854C7" w14:textId="77777777" w:rsidR="000403C8" w:rsidRPr="00AF7FC3" w:rsidRDefault="000403C8" w:rsidP="006819AF">
            <w:pPr>
              <w:rPr>
                <w:sz w:val="20"/>
                <w:szCs w:val="20"/>
              </w:rPr>
            </w:pPr>
          </w:p>
          <w:p w14:paraId="65295D3F" w14:textId="603B3614" w:rsidR="00805E15" w:rsidRPr="00AF7FC3" w:rsidRDefault="00805E15" w:rsidP="006819AF">
            <w:pPr>
              <w:rPr>
                <w:sz w:val="20"/>
                <w:szCs w:val="20"/>
              </w:rPr>
            </w:pPr>
            <w:r w:rsidRPr="00AF7FC3">
              <w:rPr>
                <w:sz w:val="20"/>
                <w:szCs w:val="20"/>
              </w:rPr>
              <w:t xml:space="preserve">Defines and manages workflow supporting application </w:t>
            </w:r>
            <w:r w:rsidR="004D7B58" w:rsidRPr="00AF7FC3">
              <w:rPr>
                <w:sz w:val="20"/>
                <w:szCs w:val="20"/>
              </w:rPr>
              <w:t>needs.</w:t>
            </w:r>
          </w:p>
          <w:p w14:paraId="2F694976" w14:textId="77777777" w:rsidR="000403C8" w:rsidRPr="00AF7FC3" w:rsidRDefault="000403C8" w:rsidP="006819AF">
            <w:pPr>
              <w:rPr>
                <w:sz w:val="20"/>
                <w:szCs w:val="20"/>
              </w:rPr>
            </w:pPr>
          </w:p>
          <w:p w14:paraId="207C7D67" w14:textId="1B6ACD30" w:rsidR="00D81914" w:rsidRPr="00AF7FC3" w:rsidRDefault="00805E15" w:rsidP="006819AF">
            <w:pPr>
              <w:rPr>
                <w:sz w:val="20"/>
                <w:szCs w:val="20"/>
              </w:rPr>
            </w:pPr>
            <w:r w:rsidRPr="00AF7FC3">
              <w:rPr>
                <w:sz w:val="20"/>
                <w:szCs w:val="20"/>
              </w:rPr>
              <w:t>Conducts validation of applications according to intended use</w:t>
            </w:r>
            <w:r w:rsidR="004D7B58">
              <w:rPr>
                <w:sz w:val="20"/>
                <w:szCs w:val="20"/>
              </w:rPr>
              <w:t>, i</w:t>
            </w:r>
            <w:r w:rsidR="004D7B58" w:rsidRPr="004D7B58">
              <w:rPr>
                <w:sz w:val="20"/>
                <w:szCs w:val="20"/>
              </w:rPr>
              <w:t xml:space="preserve">nclude leverage of documentation to be </w:t>
            </w:r>
            <w:proofErr w:type="gramStart"/>
            <w:r w:rsidR="004D7B58" w:rsidRPr="004D7B58">
              <w:rPr>
                <w:sz w:val="20"/>
                <w:szCs w:val="20"/>
              </w:rPr>
              <w:t>reused/looked into</w:t>
            </w:r>
            <w:proofErr w:type="gramEnd"/>
            <w:r w:rsidR="004D7B58" w:rsidRPr="004D7B58">
              <w:rPr>
                <w:sz w:val="20"/>
                <w:szCs w:val="20"/>
              </w:rPr>
              <w:t xml:space="preserve"> as a part </w:t>
            </w:r>
            <w:r w:rsidR="004D7B58">
              <w:rPr>
                <w:sz w:val="20"/>
                <w:szCs w:val="20"/>
              </w:rPr>
              <w:t>cloud user test/assessment/audit</w:t>
            </w:r>
          </w:p>
        </w:tc>
      </w:tr>
      <w:tr w:rsidR="00805E15" w:rsidRPr="00AF7FC3" w14:paraId="2469D494" w14:textId="77777777" w:rsidTr="006819AF">
        <w:tc>
          <w:tcPr>
            <w:tcW w:w="1560" w:type="dxa"/>
            <w:shd w:val="clear" w:color="auto" w:fill="5B9BD5" w:themeFill="accent1"/>
            <w:vAlign w:val="center"/>
          </w:tcPr>
          <w:p w14:paraId="4F215A5D" w14:textId="77777777" w:rsidR="00805E15" w:rsidRPr="00AF7FC3" w:rsidRDefault="00805E15" w:rsidP="006819AF">
            <w:pPr>
              <w:rPr>
                <w:b/>
                <w:sz w:val="20"/>
                <w:szCs w:val="20"/>
              </w:rPr>
            </w:pPr>
            <w:r w:rsidRPr="00AF7FC3">
              <w:rPr>
                <w:b/>
                <w:sz w:val="20"/>
                <w:szCs w:val="20"/>
              </w:rPr>
              <w:t>Cloud Service Broker</w:t>
            </w:r>
          </w:p>
        </w:tc>
        <w:tc>
          <w:tcPr>
            <w:tcW w:w="2551" w:type="dxa"/>
            <w:shd w:val="clear" w:color="auto" w:fill="auto"/>
          </w:tcPr>
          <w:p w14:paraId="4D947255" w14:textId="77777777" w:rsidR="00805E15" w:rsidRPr="00AF7FC3" w:rsidRDefault="00805E15" w:rsidP="006819AF">
            <w:pPr>
              <w:rPr>
                <w:sz w:val="20"/>
                <w:szCs w:val="20"/>
              </w:rPr>
            </w:pPr>
            <w:r w:rsidRPr="00AF7FC3">
              <w:rPr>
                <w:sz w:val="20"/>
                <w:szCs w:val="20"/>
              </w:rPr>
              <w:t>Defines service requirements based on the approved service business case and the service risk assessment.</w:t>
            </w:r>
          </w:p>
          <w:p w14:paraId="57BEC592" w14:textId="77777777" w:rsidR="000403C8" w:rsidRPr="00AF7FC3" w:rsidRDefault="000403C8" w:rsidP="006819AF">
            <w:pPr>
              <w:rPr>
                <w:sz w:val="20"/>
                <w:szCs w:val="20"/>
              </w:rPr>
            </w:pPr>
          </w:p>
          <w:p w14:paraId="50F3730E" w14:textId="77777777" w:rsidR="00805E15" w:rsidRPr="00AF7FC3" w:rsidRDefault="00805E15" w:rsidP="006819AF">
            <w:pPr>
              <w:rPr>
                <w:sz w:val="20"/>
                <w:szCs w:val="20"/>
              </w:rPr>
            </w:pPr>
            <w:r w:rsidRPr="00AF7FC3">
              <w:rPr>
                <w:sz w:val="20"/>
                <w:szCs w:val="20"/>
              </w:rPr>
              <w:t>Assesses service risk.</w:t>
            </w:r>
          </w:p>
          <w:p w14:paraId="4CAE6461" w14:textId="77777777" w:rsidR="000403C8" w:rsidRPr="00AF7FC3" w:rsidRDefault="000403C8" w:rsidP="006819AF">
            <w:pPr>
              <w:rPr>
                <w:sz w:val="20"/>
                <w:szCs w:val="20"/>
              </w:rPr>
            </w:pPr>
          </w:p>
          <w:p w14:paraId="42624A91" w14:textId="77777777" w:rsidR="00805E15" w:rsidRPr="00AF7FC3" w:rsidRDefault="00805E15" w:rsidP="006819AF">
            <w:pPr>
              <w:rPr>
                <w:sz w:val="20"/>
                <w:szCs w:val="20"/>
              </w:rPr>
            </w:pPr>
            <w:r w:rsidRPr="00AF7FC3">
              <w:rPr>
                <w:sz w:val="20"/>
                <w:szCs w:val="20"/>
              </w:rPr>
              <w:t>Selects Cloud Service Provider on behalf of or together with the Cloud Service Customer.</w:t>
            </w:r>
          </w:p>
          <w:p w14:paraId="4FD37FBB" w14:textId="77777777" w:rsidR="00805E15" w:rsidRPr="00AF7FC3" w:rsidRDefault="00805E15" w:rsidP="006819AF">
            <w:pPr>
              <w:rPr>
                <w:sz w:val="20"/>
                <w:szCs w:val="20"/>
              </w:rPr>
            </w:pPr>
          </w:p>
        </w:tc>
        <w:tc>
          <w:tcPr>
            <w:tcW w:w="2552" w:type="dxa"/>
            <w:shd w:val="clear" w:color="auto" w:fill="auto"/>
          </w:tcPr>
          <w:p w14:paraId="7FD807B7" w14:textId="77777777" w:rsidR="00805E15" w:rsidRPr="00AF7FC3" w:rsidRDefault="00805E15" w:rsidP="006819AF">
            <w:pPr>
              <w:rPr>
                <w:sz w:val="20"/>
                <w:szCs w:val="20"/>
              </w:rPr>
            </w:pPr>
            <w:r w:rsidRPr="00AF7FC3">
              <w:rPr>
                <w:sz w:val="20"/>
                <w:szCs w:val="20"/>
              </w:rPr>
              <w:t>Describes service, including service level options.</w:t>
            </w:r>
          </w:p>
          <w:p w14:paraId="0F9DA0E1" w14:textId="77777777" w:rsidR="000403C8" w:rsidRPr="00AF7FC3" w:rsidRDefault="000403C8" w:rsidP="006819AF">
            <w:pPr>
              <w:rPr>
                <w:sz w:val="20"/>
                <w:szCs w:val="20"/>
              </w:rPr>
            </w:pPr>
          </w:p>
          <w:p w14:paraId="0E5C351F" w14:textId="77777777" w:rsidR="00805E15" w:rsidRPr="00AF7FC3" w:rsidRDefault="00805E15" w:rsidP="006819AF">
            <w:pPr>
              <w:rPr>
                <w:sz w:val="20"/>
                <w:szCs w:val="20"/>
              </w:rPr>
            </w:pPr>
            <w:r w:rsidRPr="00AF7FC3">
              <w:rPr>
                <w:sz w:val="20"/>
                <w:szCs w:val="20"/>
              </w:rPr>
              <w:t>Describes the architecture.</w:t>
            </w:r>
          </w:p>
          <w:p w14:paraId="2D31830C" w14:textId="77777777" w:rsidR="000403C8" w:rsidRPr="00AF7FC3" w:rsidRDefault="000403C8" w:rsidP="006819AF">
            <w:pPr>
              <w:rPr>
                <w:sz w:val="20"/>
                <w:szCs w:val="20"/>
              </w:rPr>
            </w:pPr>
          </w:p>
          <w:p w14:paraId="6A03C2B3" w14:textId="77777777" w:rsidR="00805E15" w:rsidRPr="00AF7FC3" w:rsidRDefault="00805E15" w:rsidP="006819AF">
            <w:pPr>
              <w:rPr>
                <w:sz w:val="20"/>
                <w:szCs w:val="20"/>
              </w:rPr>
            </w:pPr>
            <w:r w:rsidRPr="00AF7FC3">
              <w:rPr>
                <w:sz w:val="20"/>
                <w:szCs w:val="20"/>
              </w:rPr>
              <w:t>Defines cloud service provider KPIs.</w:t>
            </w:r>
          </w:p>
          <w:p w14:paraId="5F7D3CBF" w14:textId="77777777" w:rsidR="000403C8" w:rsidRPr="00AF7FC3" w:rsidRDefault="000403C8" w:rsidP="006819AF">
            <w:pPr>
              <w:rPr>
                <w:sz w:val="20"/>
                <w:szCs w:val="20"/>
              </w:rPr>
            </w:pPr>
          </w:p>
          <w:p w14:paraId="1E63CEC8" w14:textId="77777777" w:rsidR="00805E15" w:rsidRPr="00AF7FC3" w:rsidRDefault="00805E15" w:rsidP="006819AF">
            <w:pPr>
              <w:rPr>
                <w:sz w:val="20"/>
                <w:szCs w:val="20"/>
              </w:rPr>
            </w:pPr>
            <w:r w:rsidRPr="00AF7FC3">
              <w:rPr>
                <w:sz w:val="20"/>
                <w:szCs w:val="20"/>
              </w:rPr>
              <w:t>Identifies relevant CIs based on the service risk assessment.</w:t>
            </w:r>
          </w:p>
          <w:p w14:paraId="62905FF9" w14:textId="77777777" w:rsidR="000403C8" w:rsidRPr="00AF7FC3" w:rsidRDefault="000403C8" w:rsidP="006819AF">
            <w:pPr>
              <w:rPr>
                <w:sz w:val="20"/>
                <w:szCs w:val="20"/>
              </w:rPr>
            </w:pPr>
          </w:p>
          <w:p w14:paraId="0E75CE0B" w14:textId="77777777" w:rsidR="00805E15" w:rsidRPr="00AF7FC3" w:rsidRDefault="00805E15" w:rsidP="006819AF">
            <w:pPr>
              <w:rPr>
                <w:sz w:val="20"/>
                <w:szCs w:val="20"/>
              </w:rPr>
            </w:pPr>
            <w:r w:rsidRPr="00AF7FC3">
              <w:rPr>
                <w:sz w:val="20"/>
                <w:szCs w:val="20"/>
              </w:rPr>
              <w:t>Evaluates the need for standards for the service on behalf of or together with the Cloud Service Customer.</w:t>
            </w:r>
          </w:p>
        </w:tc>
        <w:tc>
          <w:tcPr>
            <w:tcW w:w="2682" w:type="dxa"/>
            <w:shd w:val="clear" w:color="auto" w:fill="auto"/>
          </w:tcPr>
          <w:p w14:paraId="586E24FB" w14:textId="77777777" w:rsidR="00805E15" w:rsidRPr="00AF7FC3" w:rsidRDefault="00805E15" w:rsidP="006819AF">
            <w:pPr>
              <w:rPr>
                <w:sz w:val="20"/>
                <w:szCs w:val="20"/>
              </w:rPr>
            </w:pPr>
            <w:r w:rsidRPr="00AF7FC3">
              <w:rPr>
                <w:sz w:val="20"/>
                <w:szCs w:val="20"/>
              </w:rPr>
              <w:t>Releases service.</w:t>
            </w:r>
          </w:p>
          <w:p w14:paraId="594DBE1F" w14:textId="77777777" w:rsidR="000403C8" w:rsidRPr="00AF7FC3" w:rsidRDefault="000403C8" w:rsidP="006819AF">
            <w:pPr>
              <w:rPr>
                <w:sz w:val="20"/>
                <w:szCs w:val="20"/>
              </w:rPr>
            </w:pPr>
          </w:p>
          <w:p w14:paraId="17293F30" w14:textId="77777777" w:rsidR="00805E15" w:rsidRPr="00AF7FC3" w:rsidRDefault="00805E15" w:rsidP="006819AF">
            <w:pPr>
              <w:rPr>
                <w:sz w:val="20"/>
                <w:szCs w:val="20"/>
              </w:rPr>
            </w:pPr>
            <w:r w:rsidRPr="00AF7FC3">
              <w:rPr>
                <w:sz w:val="20"/>
                <w:szCs w:val="20"/>
              </w:rPr>
              <w:t>Ensures implementation of services by the Cloud Service Providers according to the defined service requirements and agreed service levels.</w:t>
            </w:r>
          </w:p>
        </w:tc>
      </w:tr>
      <w:tr w:rsidR="004D7B58" w:rsidRPr="00AF7FC3" w14:paraId="30D3335B" w14:textId="77777777" w:rsidTr="006819AF">
        <w:tc>
          <w:tcPr>
            <w:tcW w:w="1560" w:type="dxa"/>
            <w:vMerge w:val="restart"/>
            <w:shd w:val="clear" w:color="auto" w:fill="5B9BD5" w:themeFill="accent1"/>
            <w:vAlign w:val="center"/>
          </w:tcPr>
          <w:p w14:paraId="687E8F46" w14:textId="026A0574" w:rsidR="004D7B58" w:rsidRPr="00AF7FC3" w:rsidRDefault="004D7B58" w:rsidP="006819AF">
            <w:pPr>
              <w:rPr>
                <w:b/>
                <w:sz w:val="20"/>
                <w:szCs w:val="20"/>
              </w:rPr>
            </w:pPr>
            <w:r w:rsidRPr="00AF7FC3">
              <w:rPr>
                <w:b/>
                <w:sz w:val="20"/>
                <w:szCs w:val="20"/>
              </w:rPr>
              <w:t>Cloud Service Providers</w:t>
            </w:r>
          </w:p>
        </w:tc>
        <w:tc>
          <w:tcPr>
            <w:tcW w:w="7785" w:type="dxa"/>
            <w:gridSpan w:val="3"/>
            <w:shd w:val="clear" w:color="auto" w:fill="auto"/>
          </w:tcPr>
          <w:p w14:paraId="3AE7A469" w14:textId="77777777" w:rsidR="004D7B58" w:rsidRPr="00AF7FC3" w:rsidRDefault="004D7B58" w:rsidP="006819AF">
            <w:pPr>
              <w:rPr>
                <w:sz w:val="20"/>
                <w:szCs w:val="20"/>
              </w:rPr>
            </w:pPr>
            <w:r w:rsidRPr="00AF7FC3">
              <w:rPr>
                <w:sz w:val="20"/>
                <w:szCs w:val="20"/>
              </w:rPr>
              <w:t>Provides Customer Support.</w:t>
            </w:r>
          </w:p>
          <w:p w14:paraId="0D8CC245" w14:textId="77777777" w:rsidR="004D7B58" w:rsidRDefault="004D7B58" w:rsidP="006819AF">
            <w:pPr>
              <w:rPr>
                <w:sz w:val="20"/>
                <w:szCs w:val="20"/>
              </w:rPr>
            </w:pPr>
          </w:p>
          <w:p w14:paraId="04E0B88D" w14:textId="77777777" w:rsidR="004D7B58" w:rsidRDefault="004D7B58" w:rsidP="006819AF">
            <w:pPr>
              <w:rPr>
                <w:sz w:val="20"/>
                <w:szCs w:val="20"/>
              </w:rPr>
            </w:pPr>
            <w:r w:rsidRPr="004D7B58">
              <w:rPr>
                <w:sz w:val="20"/>
                <w:szCs w:val="20"/>
              </w:rPr>
              <w:t>Provides handling of security and risk identifications and controls.</w:t>
            </w:r>
          </w:p>
          <w:p w14:paraId="09E782FD" w14:textId="77777777" w:rsidR="004D7B58" w:rsidRDefault="004D7B58" w:rsidP="006819AF">
            <w:pPr>
              <w:rPr>
                <w:sz w:val="20"/>
                <w:szCs w:val="20"/>
              </w:rPr>
            </w:pPr>
          </w:p>
          <w:p w14:paraId="0FC56632" w14:textId="77777777" w:rsidR="004D7B58" w:rsidRDefault="004D7B58" w:rsidP="006819AF">
            <w:pPr>
              <w:rPr>
                <w:sz w:val="20"/>
                <w:szCs w:val="20"/>
              </w:rPr>
            </w:pPr>
            <w:r>
              <w:rPr>
                <w:sz w:val="20"/>
                <w:szCs w:val="20"/>
              </w:rPr>
              <w:t>M</w:t>
            </w:r>
            <w:r w:rsidRPr="004D7B58">
              <w:rPr>
                <w:sz w:val="20"/>
                <w:szCs w:val="20"/>
              </w:rPr>
              <w:t xml:space="preserve">onitoring </w:t>
            </w:r>
            <w:r>
              <w:rPr>
                <w:sz w:val="20"/>
                <w:szCs w:val="20"/>
              </w:rPr>
              <w:t>e.g.,</w:t>
            </w:r>
          </w:p>
          <w:p w14:paraId="6A52AD3D" w14:textId="77777777" w:rsidR="004D7B58" w:rsidRDefault="004D7B58" w:rsidP="006819AF">
            <w:pPr>
              <w:pStyle w:val="ListParagraph"/>
              <w:numPr>
                <w:ilvl w:val="0"/>
                <w:numId w:val="44"/>
              </w:numPr>
              <w:rPr>
                <w:sz w:val="20"/>
                <w:szCs w:val="20"/>
              </w:rPr>
            </w:pPr>
            <w:r w:rsidRPr="004D7B58">
              <w:rPr>
                <w:sz w:val="20"/>
                <w:szCs w:val="20"/>
              </w:rPr>
              <w:t>security breaches,</w:t>
            </w:r>
          </w:p>
          <w:p w14:paraId="472AC653" w14:textId="77777777" w:rsidR="004D7B58" w:rsidRDefault="004D7B58" w:rsidP="006819AF">
            <w:pPr>
              <w:pStyle w:val="ListParagraph"/>
              <w:numPr>
                <w:ilvl w:val="0"/>
                <w:numId w:val="44"/>
              </w:numPr>
              <w:rPr>
                <w:sz w:val="20"/>
                <w:szCs w:val="20"/>
              </w:rPr>
            </w:pPr>
            <w:r w:rsidRPr="004D7B58">
              <w:rPr>
                <w:sz w:val="20"/>
                <w:szCs w:val="20"/>
              </w:rPr>
              <w:t>backup jobs</w:t>
            </w:r>
            <w:r>
              <w:rPr>
                <w:sz w:val="20"/>
                <w:szCs w:val="20"/>
              </w:rPr>
              <w:t>,</w:t>
            </w:r>
          </w:p>
          <w:p w14:paraId="18800E85" w14:textId="4A5EB4A8" w:rsidR="004D7B58" w:rsidRDefault="004D7B58" w:rsidP="006819AF">
            <w:pPr>
              <w:pStyle w:val="ListParagraph"/>
              <w:numPr>
                <w:ilvl w:val="0"/>
                <w:numId w:val="44"/>
              </w:numPr>
              <w:rPr>
                <w:sz w:val="20"/>
                <w:szCs w:val="20"/>
              </w:rPr>
            </w:pPr>
            <w:r w:rsidRPr="004D7B58">
              <w:rPr>
                <w:sz w:val="20"/>
                <w:szCs w:val="20"/>
              </w:rPr>
              <w:t>monitoring /auditing activities in the boxes for the Cloud Service Customer.  And in turn delete there “manages privileged and service accounts”</w:t>
            </w:r>
            <w:r>
              <w:rPr>
                <w:sz w:val="20"/>
                <w:szCs w:val="20"/>
              </w:rPr>
              <w:t xml:space="preserve"> - </w:t>
            </w:r>
            <w:r w:rsidRPr="004D7B58">
              <w:rPr>
                <w:sz w:val="20"/>
                <w:szCs w:val="20"/>
              </w:rPr>
              <w:t>the customer is not managing these accounts…</w:t>
            </w:r>
          </w:p>
          <w:p w14:paraId="697E641A" w14:textId="25F73A30" w:rsidR="004D7B58" w:rsidRPr="004D7B58" w:rsidRDefault="004D7B58" w:rsidP="006819AF">
            <w:pPr>
              <w:rPr>
                <w:sz w:val="20"/>
                <w:szCs w:val="20"/>
              </w:rPr>
            </w:pPr>
          </w:p>
        </w:tc>
      </w:tr>
      <w:tr w:rsidR="004D7B58" w:rsidRPr="00AF7FC3" w14:paraId="47D8637D" w14:textId="77777777" w:rsidTr="006819AF">
        <w:tc>
          <w:tcPr>
            <w:tcW w:w="1560" w:type="dxa"/>
            <w:vMerge/>
            <w:shd w:val="clear" w:color="auto" w:fill="5B9BD5" w:themeFill="accent1"/>
            <w:vAlign w:val="center"/>
          </w:tcPr>
          <w:p w14:paraId="5D847D8A" w14:textId="53BC85E8" w:rsidR="004D7B58" w:rsidRPr="00AF7FC3" w:rsidRDefault="004D7B58" w:rsidP="006819AF">
            <w:pPr>
              <w:rPr>
                <w:b/>
                <w:sz w:val="20"/>
                <w:szCs w:val="20"/>
              </w:rPr>
            </w:pPr>
          </w:p>
        </w:tc>
        <w:tc>
          <w:tcPr>
            <w:tcW w:w="2551" w:type="dxa"/>
            <w:vMerge w:val="restart"/>
            <w:shd w:val="clear" w:color="auto" w:fill="auto"/>
          </w:tcPr>
          <w:p w14:paraId="73799114" w14:textId="77777777" w:rsidR="004D7B58" w:rsidRPr="00AF7FC3" w:rsidRDefault="004D7B58" w:rsidP="006819AF">
            <w:pPr>
              <w:rPr>
                <w:sz w:val="20"/>
                <w:szCs w:val="20"/>
              </w:rPr>
            </w:pPr>
            <w:r w:rsidRPr="00AF7FC3">
              <w:rPr>
                <w:sz w:val="20"/>
                <w:szCs w:val="20"/>
              </w:rPr>
              <w:t xml:space="preserve">Provisions and manages the physical resources, </w:t>
            </w:r>
            <w:proofErr w:type="gramStart"/>
            <w:r w:rsidRPr="00AF7FC3">
              <w:rPr>
                <w:sz w:val="20"/>
                <w:szCs w:val="20"/>
              </w:rPr>
              <w:t>builds</w:t>
            </w:r>
            <w:proofErr w:type="gramEnd"/>
            <w:r w:rsidRPr="00AF7FC3">
              <w:rPr>
                <w:sz w:val="20"/>
                <w:szCs w:val="20"/>
              </w:rPr>
              <w:t xml:space="preserve"> and maintains the resource abstraction and control layer.</w:t>
            </w:r>
          </w:p>
          <w:p w14:paraId="19BF99D0" w14:textId="77777777" w:rsidR="004D7B58" w:rsidRPr="00AF7FC3" w:rsidRDefault="004D7B58" w:rsidP="006819AF">
            <w:pPr>
              <w:rPr>
                <w:sz w:val="20"/>
                <w:szCs w:val="20"/>
              </w:rPr>
            </w:pPr>
          </w:p>
          <w:p w14:paraId="3ED0F505" w14:textId="55384298" w:rsidR="004D7B58" w:rsidRPr="00AF7FC3" w:rsidRDefault="004D7B58" w:rsidP="006819AF">
            <w:pPr>
              <w:rPr>
                <w:sz w:val="20"/>
                <w:szCs w:val="20"/>
              </w:rPr>
            </w:pPr>
            <w:r w:rsidRPr="00AF7FC3">
              <w:rPr>
                <w:sz w:val="20"/>
                <w:szCs w:val="20"/>
              </w:rPr>
              <w:t>Qualifies Infrastructure services.</w:t>
            </w:r>
          </w:p>
        </w:tc>
        <w:tc>
          <w:tcPr>
            <w:tcW w:w="5234" w:type="dxa"/>
            <w:gridSpan w:val="2"/>
            <w:shd w:val="clear" w:color="auto" w:fill="auto"/>
          </w:tcPr>
          <w:p w14:paraId="04341C40" w14:textId="77777777" w:rsidR="004D7B58" w:rsidRPr="004D7B58" w:rsidRDefault="004D7B58" w:rsidP="006819AF">
            <w:pPr>
              <w:rPr>
                <w:sz w:val="20"/>
                <w:szCs w:val="20"/>
              </w:rPr>
            </w:pPr>
            <w:r w:rsidRPr="004D7B58">
              <w:rPr>
                <w:sz w:val="20"/>
                <w:szCs w:val="20"/>
              </w:rPr>
              <w:t>Implements and/or deploys services according to the defined service requirements and agreed service levels.</w:t>
            </w:r>
          </w:p>
          <w:p w14:paraId="5E2C753A" w14:textId="77777777" w:rsidR="004D7B58" w:rsidRPr="004D7B58" w:rsidRDefault="004D7B58" w:rsidP="006819AF">
            <w:pPr>
              <w:rPr>
                <w:sz w:val="20"/>
                <w:szCs w:val="20"/>
              </w:rPr>
            </w:pPr>
          </w:p>
          <w:p w14:paraId="6CD83153" w14:textId="77777777" w:rsidR="004D7B58" w:rsidRDefault="004D7B58" w:rsidP="006819AF">
            <w:pPr>
              <w:rPr>
                <w:sz w:val="20"/>
                <w:szCs w:val="20"/>
              </w:rPr>
            </w:pPr>
            <w:r w:rsidRPr="004D7B58">
              <w:rPr>
                <w:sz w:val="20"/>
                <w:szCs w:val="20"/>
              </w:rPr>
              <w:t>Operates services.</w:t>
            </w:r>
          </w:p>
          <w:p w14:paraId="536AEB79" w14:textId="291D8731" w:rsidR="004D7B58" w:rsidRPr="00AF7FC3" w:rsidRDefault="004D7B58" w:rsidP="006819AF">
            <w:pPr>
              <w:rPr>
                <w:sz w:val="20"/>
                <w:szCs w:val="20"/>
              </w:rPr>
            </w:pPr>
          </w:p>
        </w:tc>
      </w:tr>
      <w:tr w:rsidR="004D7B58" w:rsidRPr="00AF7FC3" w14:paraId="6F37C51C" w14:textId="77777777" w:rsidTr="006819AF">
        <w:tc>
          <w:tcPr>
            <w:tcW w:w="1560" w:type="dxa"/>
            <w:vMerge/>
            <w:shd w:val="clear" w:color="auto" w:fill="5B9BD5" w:themeFill="accent1"/>
            <w:vAlign w:val="center"/>
          </w:tcPr>
          <w:p w14:paraId="0B0CF7D4" w14:textId="617DF73C" w:rsidR="004D7B58" w:rsidRPr="00AF7FC3" w:rsidRDefault="004D7B58" w:rsidP="006819AF">
            <w:pPr>
              <w:rPr>
                <w:b/>
                <w:sz w:val="20"/>
                <w:szCs w:val="20"/>
              </w:rPr>
            </w:pPr>
          </w:p>
        </w:tc>
        <w:tc>
          <w:tcPr>
            <w:tcW w:w="2551" w:type="dxa"/>
            <w:vMerge/>
            <w:shd w:val="clear" w:color="auto" w:fill="auto"/>
          </w:tcPr>
          <w:p w14:paraId="111FDE48" w14:textId="77777777" w:rsidR="004D7B58" w:rsidRPr="00AF7FC3" w:rsidRDefault="004D7B58" w:rsidP="006819AF">
            <w:pPr>
              <w:rPr>
                <w:sz w:val="20"/>
                <w:szCs w:val="20"/>
              </w:rPr>
            </w:pPr>
          </w:p>
        </w:tc>
        <w:tc>
          <w:tcPr>
            <w:tcW w:w="2552" w:type="dxa"/>
            <w:shd w:val="clear" w:color="auto" w:fill="auto"/>
          </w:tcPr>
          <w:p w14:paraId="011E63CD" w14:textId="77777777" w:rsidR="004D7B58" w:rsidRPr="00AF7FC3" w:rsidRDefault="004D7B58" w:rsidP="006819AF">
            <w:pPr>
              <w:rPr>
                <w:sz w:val="20"/>
                <w:szCs w:val="20"/>
              </w:rPr>
            </w:pPr>
            <w:r w:rsidRPr="00AF7FC3">
              <w:rPr>
                <w:sz w:val="20"/>
                <w:szCs w:val="20"/>
              </w:rPr>
              <w:t>Qualifies Infrastructure- and Platform services</w:t>
            </w:r>
          </w:p>
        </w:tc>
        <w:tc>
          <w:tcPr>
            <w:tcW w:w="2682" w:type="dxa"/>
            <w:shd w:val="clear" w:color="auto" w:fill="auto"/>
          </w:tcPr>
          <w:p w14:paraId="09C54013" w14:textId="77777777" w:rsidR="004D7B58" w:rsidRPr="00AF7FC3" w:rsidRDefault="004D7B58" w:rsidP="006819AF">
            <w:pPr>
              <w:rPr>
                <w:sz w:val="20"/>
                <w:szCs w:val="20"/>
              </w:rPr>
            </w:pPr>
            <w:r w:rsidRPr="00AF7FC3">
              <w:rPr>
                <w:sz w:val="20"/>
                <w:szCs w:val="20"/>
              </w:rPr>
              <w:t>Validates generic functionality in application</w:t>
            </w:r>
          </w:p>
        </w:tc>
      </w:tr>
    </w:tbl>
    <w:p w14:paraId="0039C9D6" w14:textId="77777777" w:rsidR="00805E15" w:rsidRDefault="00805E15" w:rsidP="00D968BB"/>
    <w:p w14:paraId="09C66E70" w14:textId="56E8A2AF" w:rsidR="008A3667" w:rsidRDefault="008A3667" w:rsidP="00F3472F">
      <w:pPr>
        <w:jc w:val="both"/>
      </w:pPr>
      <w:bookmarkStart w:id="24" w:name="_Cloud_Policies_&amp;"/>
      <w:bookmarkStart w:id="25" w:name="_Intended_Use_and"/>
      <w:bookmarkStart w:id="26" w:name="_Infrastructure/Platform_Qualificati"/>
      <w:bookmarkStart w:id="27" w:name="_Infrastructure/Platform_Operations"/>
      <w:bookmarkStart w:id="28" w:name="_Software_Procurement_or"/>
      <w:bookmarkStart w:id="29" w:name="_Software_Validation"/>
      <w:bookmarkStart w:id="30" w:name="_Supplier_Assessments"/>
      <w:bookmarkStart w:id="31" w:name="_Service_Level_Agreements"/>
      <w:bookmarkStart w:id="32" w:name="_Service_Level/Quality_Agreements"/>
      <w:bookmarkStart w:id="33" w:name="_Toc397557473"/>
      <w:bookmarkEnd w:id="24"/>
      <w:bookmarkEnd w:id="25"/>
      <w:bookmarkEnd w:id="26"/>
      <w:bookmarkEnd w:id="27"/>
      <w:bookmarkEnd w:id="28"/>
      <w:bookmarkEnd w:id="29"/>
      <w:bookmarkEnd w:id="30"/>
      <w:bookmarkEnd w:id="31"/>
      <w:bookmarkEnd w:id="32"/>
    </w:p>
    <w:p w14:paraId="34F3B5F8" w14:textId="77777777" w:rsidR="00EB3AFE" w:rsidRDefault="00EB3AFE" w:rsidP="00EB3AFE">
      <w:r>
        <w:br w:type="page"/>
      </w:r>
    </w:p>
    <w:p w14:paraId="0498BFB1" w14:textId="77777777" w:rsidR="00F167B3" w:rsidRDefault="00F167B3" w:rsidP="006920E6">
      <w:pPr>
        <w:pStyle w:val="Heading1"/>
      </w:pPr>
      <w:bookmarkStart w:id="34" w:name="_Ref3283734"/>
      <w:bookmarkStart w:id="35" w:name="_Toc138311612"/>
      <w:proofErr w:type="spellStart"/>
      <w:r w:rsidRPr="00554F70">
        <w:t>GxP</w:t>
      </w:r>
      <w:proofErr w:type="spellEnd"/>
      <w:r w:rsidRPr="00554F70">
        <w:t xml:space="preserve"> Considerations for </w:t>
      </w:r>
      <w:r w:rsidR="002543FE">
        <w:t>Cloud Service Customers</w:t>
      </w:r>
      <w:r w:rsidR="00744C8D" w:rsidRPr="00554F70">
        <w:t xml:space="preserve"> </w:t>
      </w:r>
      <w:r w:rsidRPr="00554F70">
        <w:t xml:space="preserve">and </w:t>
      </w:r>
      <w:bookmarkEnd w:id="33"/>
      <w:r w:rsidR="002543FE">
        <w:t>Cloud Service Brokers</w:t>
      </w:r>
      <w:bookmarkEnd w:id="34"/>
      <w:bookmarkEnd w:id="35"/>
    </w:p>
    <w:p w14:paraId="0673982B" w14:textId="1B3ABA33" w:rsidR="00302F4E" w:rsidRDefault="00302F4E" w:rsidP="00302F4E">
      <w:pPr>
        <w:rPr>
          <w:rFonts w:cstheme="minorHAnsi"/>
        </w:rPr>
      </w:pPr>
      <w:r w:rsidRPr="00554F70">
        <w:rPr>
          <w:rFonts w:cstheme="minorHAnsi"/>
        </w:rPr>
        <w:t xml:space="preserve">When adopting cloud services for </w:t>
      </w:r>
      <w:proofErr w:type="spellStart"/>
      <w:r w:rsidRPr="00554F70">
        <w:rPr>
          <w:rFonts w:cstheme="minorHAnsi"/>
        </w:rPr>
        <w:t>GxP</w:t>
      </w:r>
      <w:proofErr w:type="spellEnd"/>
      <w:r w:rsidRPr="00554F70">
        <w:rPr>
          <w:rFonts w:cstheme="minorHAnsi"/>
        </w:rPr>
        <w:t xml:space="preserve"> uses, </w:t>
      </w:r>
      <w:r>
        <w:rPr>
          <w:rFonts w:cstheme="minorHAnsi"/>
        </w:rPr>
        <w:t>Cloud Service Customers</w:t>
      </w:r>
      <w:r w:rsidRPr="00554F70">
        <w:rPr>
          <w:rFonts w:cstheme="minorHAnsi"/>
        </w:rPr>
        <w:t xml:space="preserve"> and </w:t>
      </w:r>
      <w:r>
        <w:rPr>
          <w:rFonts w:cstheme="minorHAnsi"/>
        </w:rPr>
        <w:t>Cloud Service Brokers</w:t>
      </w:r>
      <w:r w:rsidRPr="00554F70">
        <w:rPr>
          <w:rFonts w:cstheme="minorHAnsi"/>
        </w:rPr>
        <w:t xml:space="preserve"> must review and evaluate the major control areas within their organization</w:t>
      </w:r>
      <w:r>
        <w:rPr>
          <w:rFonts w:cstheme="minorHAnsi"/>
        </w:rPr>
        <w:t>(s)</w:t>
      </w:r>
      <w:r w:rsidRPr="00554F70">
        <w:rPr>
          <w:rFonts w:cstheme="minorHAnsi"/>
        </w:rPr>
        <w:t xml:space="preserve"> that are </w:t>
      </w:r>
      <w:r>
        <w:rPr>
          <w:rFonts w:cstheme="minorHAnsi"/>
        </w:rPr>
        <w:t>impacted by the cloud technologies</w:t>
      </w:r>
      <w:r w:rsidRPr="00554F70">
        <w:rPr>
          <w:rFonts w:cstheme="minorHAnsi"/>
        </w:rPr>
        <w:t xml:space="preserve">.  These control areas will be covered below in relation to the organizational policies and procedures </w:t>
      </w:r>
      <w:r>
        <w:rPr>
          <w:rFonts w:cstheme="minorHAnsi"/>
        </w:rPr>
        <w:t>that</w:t>
      </w:r>
      <w:r w:rsidRPr="00554F70">
        <w:rPr>
          <w:rFonts w:cstheme="minorHAnsi"/>
        </w:rPr>
        <w:t xml:space="preserve"> are key to </w:t>
      </w:r>
      <w:r>
        <w:rPr>
          <w:rFonts w:cstheme="minorHAnsi"/>
        </w:rPr>
        <w:t>cloud adoption and i</w:t>
      </w:r>
      <w:r w:rsidRPr="00554F70">
        <w:rPr>
          <w:rFonts w:cstheme="minorHAnsi"/>
        </w:rPr>
        <w:t xml:space="preserve">mplementation.  One of the largest challenges in the </w:t>
      </w:r>
      <w:proofErr w:type="spellStart"/>
      <w:r w:rsidRPr="00554F70">
        <w:rPr>
          <w:rFonts w:cstheme="minorHAnsi"/>
        </w:rPr>
        <w:t>GxP</w:t>
      </w:r>
      <w:proofErr w:type="spellEnd"/>
      <w:r w:rsidRPr="00554F70">
        <w:rPr>
          <w:rFonts w:cstheme="minorHAnsi"/>
        </w:rPr>
        <w:t xml:space="preserve"> space for cloud adoption by </w:t>
      </w:r>
      <w:r>
        <w:rPr>
          <w:rFonts w:cstheme="minorHAnsi"/>
        </w:rPr>
        <w:t>Cloud Service Customers</w:t>
      </w:r>
      <w:r w:rsidRPr="00554F70">
        <w:rPr>
          <w:rFonts w:cstheme="minorHAnsi"/>
        </w:rPr>
        <w:t xml:space="preserve"> is to have the assurance that the </w:t>
      </w:r>
      <w:r>
        <w:rPr>
          <w:rFonts w:cstheme="minorHAnsi"/>
        </w:rPr>
        <w:t>Cloud Service Providers</w:t>
      </w:r>
      <w:r w:rsidRPr="00554F70">
        <w:rPr>
          <w:rFonts w:cstheme="minorHAnsi"/>
        </w:rPr>
        <w:t xml:space="preserve"> and </w:t>
      </w:r>
      <w:r>
        <w:rPr>
          <w:rFonts w:cstheme="minorHAnsi"/>
        </w:rPr>
        <w:t>Cloud Service Brokers</w:t>
      </w:r>
      <w:r w:rsidRPr="00554F70">
        <w:rPr>
          <w:rFonts w:cstheme="minorHAnsi"/>
        </w:rPr>
        <w:t xml:space="preserve"> are fully </w:t>
      </w:r>
      <w:r>
        <w:rPr>
          <w:rFonts w:cstheme="minorHAnsi"/>
        </w:rPr>
        <w:t xml:space="preserve">assessed in these key control areas. </w:t>
      </w:r>
    </w:p>
    <w:p w14:paraId="7345DF98" w14:textId="02FA9B80" w:rsidR="000026BA" w:rsidRDefault="006A0174" w:rsidP="00302F4E">
      <w:pPr>
        <w:rPr>
          <w:rFonts w:cstheme="minorHAnsi"/>
        </w:rPr>
      </w:pPr>
      <w:r>
        <w:rPr>
          <w:noProof/>
        </w:rPr>
        <mc:AlternateContent>
          <mc:Choice Requires="wps">
            <w:drawing>
              <wp:inline distT="0" distB="0" distL="0" distR="0" wp14:anchorId="632C2F07" wp14:editId="3114FBDC">
                <wp:extent cx="5692775" cy="1854679"/>
                <wp:effectExtent l="0" t="0" r="22225" b="12700"/>
                <wp:docPr id="34" name="Text Box 34"/>
                <wp:cNvGraphicFramePr/>
                <a:graphic xmlns:a="http://schemas.openxmlformats.org/drawingml/2006/main">
                  <a:graphicData uri="http://schemas.microsoft.com/office/word/2010/wordprocessingShape">
                    <wps:wsp>
                      <wps:cNvSpPr txBox="1"/>
                      <wps:spPr>
                        <a:xfrm>
                          <a:off x="0" y="0"/>
                          <a:ext cx="5692775" cy="1854679"/>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655C6C3" w14:textId="77777777" w:rsidR="00FA39D6" w:rsidRPr="00302F4E" w:rsidRDefault="00FA39D6" w:rsidP="006A0174">
                            <w:pPr>
                              <w:pStyle w:val="ListNumber"/>
                              <w:numPr>
                                <w:ilvl w:val="0"/>
                                <w:numId w:val="0"/>
                              </w:numPr>
                              <w:jc w:val="both"/>
                              <w:rPr>
                                <w:b/>
                                <w:i/>
                                <w:color w:val="2E74B5" w:themeColor="accent1" w:themeShade="BF"/>
                              </w:rPr>
                            </w:pPr>
                            <w:r w:rsidRPr="00302F4E">
                              <w:rPr>
                                <w:b/>
                                <w:i/>
                                <w:color w:val="2E74B5" w:themeColor="accent1" w:themeShade="BF"/>
                              </w:rPr>
                              <w:t xml:space="preserve">When evaluating potential Cloud vendors, what should I look for in the vendor assessment to protect the company’s data?  </w:t>
                            </w:r>
                          </w:p>
                          <w:p w14:paraId="73B6EDA5" w14:textId="77777777" w:rsidR="00FA39D6" w:rsidRPr="00302F4E" w:rsidRDefault="00FA39D6" w:rsidP="006A0174">
                            <w:pPr>
                              <w:pStyle w:val="ListNumber"/>
                              <w:numPr>
                                <w:ilvl w:val="0"/>
                                <w:numId w:val="0"/>
                              </w:numPr>
                              <w:jc w:val="both"/>
                              <w:rPr>
                                <w:i/>
                                <w:color w:val="2E74B5" w:themeColor="accent1" w:themeShade="BF"/>
                              </w:rPr>
                            </w:pPr>
                            <w:r w:rsidRPr="00302F4E">
                              <w:rPr>
                                <w:i/>
                                <w:color w:val="2E74B5" w:themeColor="accent1" w:themeShade="BF"/>
                              </w:rPr>
                              <w:t xml:space="preserve">Review Cloud offerings and assess the impact to your company’s model: public cloud, virtual private cloud, and/or private </w:t>
                            </w:r>
                            <w:proofErr w:type="gramStart"/>
                            <w:r w:rsidRPr="00302F4E">
                              <w:rPr>
                                <w:i/>
                                <w:color w:val="2E74B5" w:themeColor="accent1" w:themeShade="BF"/>
                              </w:rPr>
                              <w:t>cloud</w:t>
                            </w:r>
                            <w:proofErr w:type="gramEnd"/>
                          </w:p>
                          <w:p w14:paraId="4BC7C5BB" w14:textId="77777777" w:rsidR="00FA39D6" w:rsidRPr="00302F4E" w:rsidRDefault="00FA39D6" w:rsidP="006A0174">
                            <w:pPr>
                              <w:pStyle w:val="ListNumber"/>
                              <w:numPr>
                                <w:ilvl w:val="0"/>
                                <w:numId w:val="0"/>
                              </w:numPr>
                              <w:jc w:val="both"/>
                              <w:rPr>
                                <w:i/>
                                <w:color w:val="2E74B5" w:themeColor="accent1" w:themeShade="BF"/>
                              </w:rPr>
                            </w:pPr>
                            <w:r w:rsidRPr="00302F4E">
                              <w:rPr>
                                <w:i/>
                                <w:color w:val="2E74B5" w:themeColor="accent1" w:themeShade="BF"/>
                              </w:rPr>
                              <w:t xml:space="preserve">Review the vendor’s qualification process for third party vendors to determine the cloud responsibilities and </w:t>
                            </w:r>
                            <w:proofErr w:type="gramStart"/>
                            <w:r w:rsidRPr="00302F4E">
                              <w:rPr>
                                <w:i/>
                                <w:color w:val="2E74B5" w:themeColor="accent1" w:themeShade="BF"/>
                              </w:rPr>
                              <w:t>liability</w:t>
                            </w:r>
                            <w:proofErr w:type="gramEnd"/>
                          </w:p>
                          <w:p w14:paraId="49F97B43" w14:textId="77777777" w:rsidR="00FA39D6" w:rsidRPr="009B4C6B" w:rsidRDefault="00FA39D6" w:rsidP="006A0174">
                            <w:pPr>
                              <w:pStyle w:val="ListNumber"/>
                              <w:numPr>
                                <w:ilvl w:val="0"/>
                                <w:numId w:val="0"/>
                              </w:numPr>
                              <w:jc w:val="both"/>
                              <w:rPr>
                                <w:i/>
                                <w:color w:val="2E74B5" w:themeColor="accent1" w:themeShade="BF"/>
                              </w:rPr>
                            </w:pPr>
                            <w:r w:rsidRPr="00302F4E">
                              <w:rPr>
                                <w:i/>
                                <w:color w:val="2E74B5" w:themeColor="accent1" w:themeShade="BF"/>
                              </w:rPr>
                              <w:t>For more on contractual considerations, s</w:t>
                            </w:r>
                            <w:r>
                              <w:rPr>
                                <w:i/>
                                <w:color w:val="2E74B5" w:themeColor="accent1" w:themeShade="BF"/>
                              </w:rPr>
                              <w:t xml:space="preserve">ee section </w:t>
                            </w:r>
                            <w:r>
                              <w:rPr>
                                <w:i/>
                                <w:color w:val="2E74B5" w:themeColor="accent1" w:themeShade="BF"/>
                              </w:rPr>
                              <w:fldChar w:fldCharType="begin"/>
                            </w:r>
                            <w:r>
                              <w:rPr>
                                <w:i/>
                                <w:color w:val="2E74B5" w:themeColor="accent1" w:themeShade="BF"/>
                              </w:rPr>
                              <w:instrText xml:space="preserve"> REF _Ref3284894 \r \h </w:instrText>
                            </w:r>
                            <w:r>
                              <w:rPr>
                                <w:i/>
                                <w:color w:val="2E74B5" w:themeColor="accent1" w:themeShade="BF"/>
                              </w:rPr>
                            </w:r>
                            <w:r>
                              <w:rPr>
                                <w:i/>
                                <w:color w:val="2E74B5" w:themeColor="accent1" w:themeShade="BF"/>
                              </w:rPr>
                              <w:fldChar w:fldCharType="separate"/>
                            </w:r>
                            <w:r>
                              <w:rPr>
                                <w:i/>
                                <w:color w:val="2E74B5" w:themeColor="accent1" w:themeShade="BF"/>
                              </w:rPr>
                              <w:t>4.1.1</w:t>
                            </w:r>
                            <w:r>
                              <w:rPr>
                                <w:i/>
                                <w:color w:val="2E74B5" w:themeColor="accent1" w:themeShade="B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32C2F07" id="Text Box 34" o:spid="_x0000_s1044" type="#_x0000_t202" style="width:448.25pt;height:1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" filled="f" strokecolor="#5b9bd5 [3204]">
                <v:textbox>
                  <w:txbxContent>
                    <w:p w14:paraId="1655C6C3" w14:textId="77777777" w:rsidR="00FA39D6" w:rsidRPr="00302F4E" w:rsidRDefault="00FA39D6" w:rsidP="006A0174">
                      <w:pPr>
                        <w:pStyle w:val="ListNumber"/>
                        <w:numPr>
                          <w:ilvl w:val="0"/>
                          <w:numId w:val="0"/>
                        </w:numPr>
                        <w:jc w:val="both"/>
                        <w:rPr>
                          <w:b/>
                          <w:i/>
                          <w:color w:val="2E74B5" w:themeColor="accent1" w:themeShade="BF"/>
                        </w:rPr>
                      </w:pPr>
                      <w:r w:rsidRPr="00302F4E">
                        <w:rPr>
                          <w:b/>
                          <w:i/>
                          <w:color w:val="2E74B5" w:themeColor="accent1" w:themeShade="BF"/>
                        </w:rPr>
                        <w:t xml:space="preserve">When evaluating potential Cloud vendors, what should I look for in the vendor assessment to protect the company’s data?  </w:t>
                      </w:r>
                    </w:p>
                    <w:p w14:paraId="73B6EDA5" w14:textId="77777777" w:rsidR="00FA39D6" w:rsidRPr="00302F4E" w:rsidRDefault="00FA39D6" w:rsidP="006A0174">
                      <w:pPr>
                        <w:pStyle w:val="ListNumber"/>
                        <w:numPr>
                          <w:ilvl w:val="0"/>
                          <w:numId w:val="0"/>
                        </w:numPr>
                        <w:jc w:val="both"/>
                        <w:rPr>
                          <w:i/>
                          <w:color w:val="2E74B5" w:themeColor="accent1" w:themeShade="BF"/>
                        </w:rPr>
                      </w:pPr>
                      <w:r w:rsidRPr="00302F4E">
                        <w:rPr>
                          <w:i/>
                          <w:color w:val="2E74B5" w:themeColor="accent1" w:themeShade="BF"/>
                        </w:rPr>
                        <w:t xml:space="preserve">Review Cloud offerings and assess the impact to your company’s model: public cloud, virtual private cloud, and/or private </w:t>
                      </w:r>
                      <w:proofErr w:type="gramStart"/>
                      <w:r w:rsidRPr="00302F4E">
                        <w:rPr>
                          <w:i/>
                          <w:color w:val="2E74B5" w:themeColor="accent1" w:themeShade="BF"/>
                        </w:rPr>
                        <w:t>cloud</w:t>
                      </w:r>
                      <w:proofErr w:type="gramEnd"/>
                    </w:p>
                    <w:p w14:paraId="4BC7C5BB" w14:textId="77777777" w:rsidR="00FA39D6" w:rsidRPr="00302F4E" w:rsidRDefault="00FA39D6" w:rsidP="006A0174">
                      <w:pPr>
                        <w:pStyle w:val="ListNumber"/>
                        <w:numPr>
                          <w:ilvl w:val="0"/>
                          <w:numId w:val="0"/>
                        </w:numPr>
                        <w:jc w:val="both"/>
                        <w:rPr>
                          <w:i/>
                          <w:color w:val="2E74B5" w:themeColor="accent1" w:themeShade="BF"/>
                        </w:rPr>
                      </w:pPr>
                      <w:r w:rsidRPr="00302F4E">
                        <w:rPr>
                          <w:i/>
                          <w:color w:val="2E74B5" w:themeColor="accent1" w:themeShade="BF"/>
                        </w:rPr>
                        <w:t xml:space="preserve">Review the vendor’s qualification process for third party vendors to determine the cloud responsibilities and </w:t>
                      </w:r>
                      <w:proofErr w:type="gramStart"/>
                      <w:r w:rsidRPr="00302F4E">
                        <w:rPr>
                          <w:i/>
                          <w:color w:val="2E74B5" w:themeColor="accent1" w:themeShade="BF"/>
                        </w:rPr>
                        <w:t>liability</w:t>
                      </w:r>
                      <w:proofErr w:type="gramEnd"/>
                    </w:p>
                    <w:p w14:paraId="49F97B43" w14:textId="77777777" w:rsidR="00FA39D6" w:rsidRPr="009B4C6B" w:rsidRDefault="00FA39D6" w:rsidP="006A0174">
                      <w:pPr>
                        <w:pStyle w:val="ListNumber"/>
                        <w:numPr>
                          <w:ilvl w:val="0"/>
                          <w:numId w:val="0"/>
                        </w:numPr>
                        <w:jc w:val="both"/>
                        <w:rPr>
                          <w:i/>
                          <w:color w:val="2E74B5" w:themeColor="accent1" w:themeShade="BF"/>
                        </w:rPr>
                      </w:pPr>
                      <w:r w:rsidRPr="00302F4E">
                        <w:rPr>
                          <w:i/>
                          <w:color w:val="2E74B5" w:themeColor="accent1" w:themeShade="BF"/>
                        </w:rPr>
                        <w:t>For more on contractual considerations, s</w:t>
                      </w:r>
                      <w:r>
                        <w:rPr>
                          <w:i/>
                          <w:color w:val="2E74B5" w:themeColor="accent1" w:themeShade="BF"/>
                        </w:rPr>
                        <w:t xml:space="preserve">ee section </w:t>
                      </w:r>
                      <w:r>
                        <w:rPr>
                          <w:i/>
                          <w:color w:val="2E74B5" w:themeColor="accent1" w:themeShade="BF"/>
                        </w:rPr>
                        <w:fldChar w:fldCharType="begin"/>
                      </w:r>
                      <w:r>
                        <w:rPr>
                          <w:i/>
                          <w:color w:val="2E74B5" w:themeColor="accent1" w:themeShade="BF"/>
                        </w:rPr>
                        <w:instrText xml:space="preserve"> REF _Ref3284894 \r \h </w:instrText>
                      </w:r>
                      <w:r>
                        <w:rPr>
                          <w:i/>
                          <w:color w:val="2E74B5" w:themeColor="accent1" w:themeShade="BF"/>
                        </w:rPr>
                      </w:r>
                      <w:r>
                        <w:rPr>
                          <w:i/>
                          <w:color w:val="2E74B5" w:themeColor="accent1" w:themeShade="BF"/>
                        </w:rPr>
                        <w:fldChar w:fldCharType="separate"/>
                      </w:r>
                      <w:r>
                        <w:rPr>
                          <w:i/>
                          <w:color w:val="2E74B5" w:themeColor="accent1" w:themeShade="BF"/>
                        </w:rPr>
                        <w:t>4.1.1</w:t>
                      </w:r>
                      <w:r>
                        <w:rPr>
                          <w:i/>
                          <w:color w:val="2E74B5" w:themeColor="accent1" w:themeShade="BF"/>
                        </w:rPr>
                        <w:fldChar w:fldCharType="end"/>
                      </w:r>
                    </w:p>
                  </w:txbxContent>
                </v:textbox>
                <w10:anchorlock/>
              </v:shape>
            </w:pict>
          </mc:Fallback>
        </mc:AlternateContent>
      </w:r>
    </w:p>
    <w:p w14:paraId="5A9FB045" w14:textId="2069BEDA" w:rsidR="000026BA" w:rsidRDefault="006A0174" w:rsidP="00302F4E">
      <w:pPr>
        <w:rPr>
          <w:rFonts w:cstheme="minorHAnsi"/>
        </w:rPr>
      </w:pPr>
      <w:r>
        <w:rPr>
          <w:noProof/>
        </w:rPr>
        <mc:AlternateContent>
          <mc:Choice Requires="wps">
            <w:drawing>
              <wp:inline distT="0" distB="0" distL="0" distR="0" wp14:anchorId="13CB6E1D" wp14:editId="7E4C1BDC">
                <wp:extent cx="5692775" cy="2260121"/>
                <wp:effectExtent l="0" t="0" r="22225" b="26035"/>
                <wp:docPr id="35" name="Text Box 35"/>
                <wp:cNvGraphicFramePr/>
                <a:graphic xmlns:a="http://schemas.openxmlformats.org/drawingml/2006/main">
                  <a:graphicData uri="http://schemas.microsoft.com/office/word/2010/wordprocessingShape">
                    <wps:wsp>
                      <wps:cNvSpPr txBox="1"/>
                      <wps:spPr>
                        <a:xfrm>
                          <a:off x="0" y="0"/>
                          <a:ext cx="5692775" cy="2260121"/>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3260118" w14:textId="77777777" w:rsidR="00FA39D6" w:rsidRPr="008A6B2D" w:rsidRDefault="00FA39D6" w:rsidP="006A0174">
                            <w:pPr>
                              <w:pStyle w:val="ListNumber"/>
                              <w:numPr>
                                <w:ilvl w:val="0"/>
                                <w:numId w:val="0"/>
                              </w:numPr>
                              <w:jc w:val="both"/>
                              <w:rPr>
                                <w:b/>
                                <w:i/>
                                <w:color w:val="2E74B5" w:themeColor="accent1" w:themeShade="BF"/>
                              </w:rPr>
                            </w:pPr>
                            <w:r w:rsidRPr="008A6B2D">
                              <w:rPr>
                                <w:b/>
                                <w:i/>
                                <w:color w:val="2E74B5" w:themeColor="accent1" w:themeShade="BF"/>
                              </w:rPr>
                              <w:t>Before adopting the cloud, my company wants to understand where our data will be stored, and if we can control the physical location of data?</w:t>
                            </w:r>
                          </w:p>
                          <w:p w14:paraId="3404AB25" w14:textId="77777777" w:rsidR="00FA39D6" w:rsidRPr="008A6B2D" w:rsidRDefault="00FA39D6" w:rsidP="006A0174">
                            <w:pPr>
                              <w:pStyle w:val="ListNumber"/>
                              <w:numPr>
                                <w:ilvl w:val="0"/>
                                <w:numId w:val="0"/>
                              </w:numPr>
                              <w:jc w:val="both"/>
                              <w:rPr>
                                <w:i/>
                                <w:color w:val="2E74B5" w:themeColor="accent1" w:themeShade="BF"/>
                              </w:rPr>
                            </w:pPr>
                            <w:r w:rsidRPr="008A6B2D">
                              <w:rPr>
                                <w:i/>
                                <w:color w:val="2E74B5" w:themeColor="accent1" w:themeShade="BF"/>
                              </w:rPr>
                              <w:t>As the potential customer, you need to first understand the regulatory/privacy classification of the data in scope. This then defines the requirements to ask the right questions of potential Cloud vendors of which data center locations can be part of the solution, and how that vendor implements controls for data storage/access.</w:t>
                            </w:r>
                          </w:p>
                          <w:p w14:paraId="32267179" w14:textId="77777777" w:rsidR="00FA39D6" w:rsidRPr="008A6B2D" w:rsidRDefault="00FA39D6" w:rsidP="006A0174">
                            <w:pPr>
                              <w:pStyle w:val="ListNumber"/>
                              <w:numPr>
                                <w:ilvl w:val="0"/>
                                <w:numId w:val="0"/>
                              </w:numPr>
                              <w:jc w:val="both"/>
                              <w:rPr>
                                <w:i/>
                                <w:color w:val="2E74B5" w:themeColor="accent1" w:themeShade="BF"/>
                              </w:rPr>
                            </w:pPr>
                            <w:r w:rsidRPr="008A6B2D">
                              <w:rPr>
                                <w:i/>
                                <w:color w:val="2E74B5" w:themeColor="accent1" w:themeShade="BF"/>
                              </w:rPr>
                              <w:t>If concerned about the location of “original electronic data”, it’s still an architecture discussion. Based on your design, where are the original records generated and stored? If the design, proposes cloud, then you need to assess the</w:t>
                            </w:r>
                            <w:r>
                              <w:rPr>
                                <w:i/>
                                <w:color w:val="2E74B5" w:themeColor="accent1" w:themeShade="BF"/>
                              </w:rPr>
                              <w:t xml:space="preserve"> vendor</w:t>
                            </w:r>
                            <w:r w:rsidRPr="008A6B2D">
                              <w:rPr>
                                <w:i/>
                                <w:color w:val="2E74B5" w:themeColor="accent1" w:themeShade="BF"/>
                              </w:rPr>
                              <w:t xml:space="preserve">. </w:t>
                            </w:r>
                          </w:p>
                          <w:p w14:paraId="07DC104B" w14:textId="46076D43" w:rsidR="00FA39D6" w:rsidRPr="009B4C6B" w:rsidRDefault="00FA39D6" w:rsidP="006A0174">
                            <w:pPr>
                              <w:pStyle w:val="ListNumber"/>
                              <w:numPr>
                                <w:ilvl w:val="0"/>
                                <w:numId w:val="0"/>
                              </w:numPr>
                              <w:jc w:val="both"/>
                              <w:rPr>
                                <w:i/>
                                <w:color w:val="2E74B5" w:themeColor="accent1" w:themeShade="BF"/>
                              </w:rPr>
                            </w:pPr>
                            <w:r w:rsidRPr="008A6B2D">
                              <w:rPr>
                                <w:i/>
                                <w:color w:val="2E74B5" w:themeColor="accent1" w:themeShade="BF"/>
                              </w:rPr>
                              <w:t xml:space="preserve"> For more on contractual considerations, s</w:t>
                            </w:r>
                            <w:r>
                              <w:rPr>
                                <w:i/>
                                <w:color w:val="2E74B5" w:themeColor="accent1" w:themeShade="BF"/>
                              </w:rPr>
                              <w:t xml:space="preserve">ee section </w:t>
                            </w:r>
                            <w:r>
                              <w:rPr>
                                <w:i/>
                                <w:color w:val="2E74B5" w:themeColor="accent1" w:themeShade="BF"/>
                              </w:rPr>
                              <w:fldChar w:fldCharType="begin"/>
                            </w:r>
                            <w:r>
                              <w:rPr>
                                <w:i/>
                                <w:color w:val="2E74B5" w:themeColor="accent1" w:themeShade="BF"/>
                              </w:rPr>
                              <w:instrText xml:space="preserve"> REF _Ref3285095 \r \h </w:instrText>
                            </w:r>
                            <w:r>
                              <w:rPr>
                                <w:i/>
                                <w:color w:val="2E74B5" w:themeColor="accent1" w:themeShade="BF"/>
                              </w:rPr>
                            </w:r>
                            <w:r>
                              <w:rPr>
                                <w:i/>
                                <w:color w:val="2E74B5" w:themeColor="accent1" w:themeShade="BF"/>
                              </w:rPr>
                              <w:fldChar w:fldCharType="separate"/>
                            </w:r>
                            <w:r>
                              <w:rPr>
                                <w:i/>
                                <w:color w:val="2E74B5" w:themeColor="accent1" w:themeShade="BF"/>
                              </w:rPr>
                              <w:t>4.1.1</w:t>
                            </w:r>
                            <w:r>
                              <w:rPr>
                                <w:i/>
                                <w:color w:val="2E74B5" w:themeColor="accent1" w:themeShade="BF"/>
                              </w:rPr>
                              <w:fldChar w:fldCharType="end"/>
                            </w:r>
                            <w:r>
                              <w:rPr>
                                <w:i/>
                                <w:color w:val="2E74B5" w:themeColor="accent1" w:themeShade="BF"/>
                              </w:rPr>
                              <w:t xml:space="preserve"> and </w:t>
                            </w:r>
                            <w:r>
                              <w:rPr>
                                <w:i/>
                                <w:color w:val="2E74B5" w:themeColor="accent1" w:themeShade="BF"/>
                              </w:rPr>
                              <w:fldChar w:fldCharType="begin"/>
                            </w:r>
                            <w:r>
                              <w:rPr>
                                <w:i/>
                                <w:color w:val="2E74B5" w:themeColor="accent1" w:themeShade="BF"/>
                              </w:rPr>
                              <w:instrText xml:space="preserve"> REF _Ref3285101 \r \h </w:instrText>
                            </w:r>
                            <w:r>
                              <w:rPr>
                                <w:i/>
                                <w:color w:val="2E74B5" w:themeColor="accent1" w:themeShade="BF"/>
                              </w:rPr>
                            </w:r>
                            <w:r>
                              <w:rPr>
                                <w:i/>
                                <w:color w:val="2E74B5" w:themeColor="accent1" w:themeShade="BF"/>
                              </w:rPr>
                              <w:fldChar w:fldCharType="separate"/>
                            </w:r>
                            <w:r>
                              <w:rPr>
                                <w:i/>
                                <w:color w:val="2E74B5" w:themeColor="accent1" w:themeShade="BF"/>
                              </w:rPr>
                              <w:t>4.1.2</w:t>
                            </w:r>
                            <w:r>
                              <w:rPr>
                                <w:i/>
                                <w:color w:val="2E74B5" w:themeColor="accent1" w:themeShade="B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CB6E1D" id="Text Box 35" o:spid="_x0000_s1045" type="#_x0000_t202" style="width:448.25pt;height:17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" filled="f" strokecolor="#5b9bd5 [3204]">
                <v:textbox>
                  <w:txbxContent>
                    <w:p w14:paraId="13260118" w14:textId="77777777" w:rsidR="00FA39D6" w:rsidRPr="008A6B2D" w:rsidRDefault="00FA39D6" w:rsidP="006A0174">
                      <w:pPr>
                        <w:pStyle w:val="ListNumber"/>
                        <w:numPr>
                          <w:ilvl w:val="0"/>
                          <w:numId w:val="0"/>
                        </w:numPr>
                        <w:jc w:val="both"/>
                        <w:rPr>
                          <w:b/>
                          <w:i/>
                          <w:color w:val="2E74B5" w:themeColor="accent1" w:themeShade="BF"/>
                        </w:rPr>
                      </w:pPr>
                      <w:r w:rsidRPr="008A6B2D">
                        <w:rPr>
                          <w:b/>
                          <w:i/>
                          <w:color w:val="2E74B5" w:themeColor="accent1" w:themeShade="BF"/>
                        </w:rPr>
                        <w:t>Before adopting the cloud, my company wants to understand where our data will be stored, and if we can control the physical location of data?</w:t>
                      </w:r>
                    </w:p>
                    <w:p w14:paraId="3404AB25" w14:textId="77777777" w:rsidR="00FA39D6" w:rsidRPr="008A6B2D" w:rsidRDefault="00FA39D6" w:rsidP="006A0174">
                      <w:pPr>
                        <w:pStyle w:val="ListNumber"/>
                        <w:numPr>
                          <w:ilvl w:val="0"/>
                          <w:numId w:val="0"/>
                        </w:numPr>
                        <w:jc w:val="both"/>
                        <w:rPr>
                          <w:i/>
                          <w:color w:val="2E74B5" w:themeColor="accent1" w:themeShade="BF"/>
                        </w:rPr>
                      </w:pPr>
                      <w:r w:rsidRPr="008A6B2D">
                        <w:rPr>
                          <w:i/>
                          <w:color w:val="2E74B5" w:themeColor="accent1" w:themeShade="BF"/>
                        </w:rPr>
                        <w:t>As the potential customer, you need to first understand the regulatory/privacy classification of the data in scope. This then defines the requirements to ask the right questions of potential Cloud vendors of which data center locations can be part of the solution, and how that vendor implements controls for data storage/access.</w:t>
                      </w:r>
                    </w:p>
                    <w:p w14:paraId="32267179" w14:textId="77777777" w:rsidR="00FA39D6" w:rsidRPr="008A6B2D" w:rsidRDefault="00FA39D6" w:rsidP="006A0174">
                      <w:pPr>
                        <w:pStyle w:val="ListNumber"/>
                        <w:numPr>
                          <w:ilvl w:val="0"/>
                          <w:numId w:val="0"/>
                        </w:numPr>
                        <w:jc w:val="both"/>
                        <w:rPr>
                          <w:i/>
                          <w:color w:val="2E74B5" w:themeColor="accent1" w:themeShade="BF"/>
                        </w:rPr>
                      </w:pPr>
                      <w:r w:rsidRPr="008A6B2D">
                        <w:rPr>
                          <w:i/>
                          <w:color w:val="2E74B5" w:themeColor="accent1" w:themeShade="BF"/>
                        </w:rPr>
                        <w:t>If concerned about the location of “original electronic data”, it’s still an architecture discussion. Based on your design, where are the original records generated and stored? If the design, proposes cloud, then you need to assess the</w:t>
                      </w:r>
                      <w:r>
                        <w:rPr>
                          <w:i/>
                          <w:color w:val="2E74B5" w:themeColor="accent1" w:themeShade="BF"/>
                        </w:rPr>
                        <w:t xml:space="preserve"> vendor</w:t>
                      </w:r>
                      <w:r w:rsidRPr="008A6B2D">
                        <w:rPr>
                          <w:i/>
                          <w:color w:val="2E74B5" w:themeColor="accent1" w:themeShade="BF"/>
                        </w:rPr>
                        <w:t xml:space="preserve">. </w:t>
                      </w:r>
                    </w:p>
                    <w:p w14:paraId="07DC104B" w14:textId="46076D43" w:rsidR="00FA39D6" w:rsidRPr="009B4C6B" w:rsidRDefault="00FA39D6" w:rsidP="006A0174">
                      <w:pPr>
                        <w:pStyle w:val="ListNumber"/>
                        <w:numPr>
                          <w:ilvl w:val="0"/>
                          <w:numId w:val="0"/>
                        </w:numPr>
                        <w:jc w:val="both"/>
                        <w:rPr>
                          <w:i/>
                          <w:color w:val="2E74B5" w:themeColor="accent1" w:themeShade="BF"/>
                        </w:rPr>
                      </w:pPr>
                      <w:r w:rsidRPr="008A6B2D">
                        <w:rPr>
                          <w:i/>
                          <w:color w:val="2E74B5" w:themeColor="accent1" w:themeShade="BF"/>
                        </w:rPr>
                        <w:t xml:space="preserve"> For more on contractual considerations, s</w:t>
                      </w:r>
                      <w:r>
                        <w:rPr>
                          <w:i/>
                          <w:color w:val="2E74B5" w:themeColor="accent1" w:themeShade="BF"/>
                        </w:rPr>
                        <w:t xml:space="preserve">ee section </w:t>
                      </w:r>
                      <w:r>
                        <w:rPr>
                          <w:i/>
                          <w:color w:val="2E74B5" w:themeColor="accent1" w:themeShade="BF"/>
                        </w:rPr>
                        <w:fldChar w:fldCharType="begin"/>
                      </w:r>
                      <w:r>
                        <w:rPr>
                          <w:i/>
                          <w:color w:val="2E74B5" w:themeColor="accent1" w:themeShade="BF"/>
                        </w:rPr>
                        <w:instrText xml:space="preserve"> REF _Ref3285095 \r \h </w:instrText>
                      </w:r>
                      <w:r>
                        <w:rPr>
                          <w:i/>
                          <w:color w:val="2E74B5" w:themeColor="accent1" w:themeShade="BF"/>
                        </w:rPr>
                      </w:r>
                      <w:r>
                        <w:rPr>
                          <w:i/>
                          <w:color w:val="2E74B5" w:themeColor="accent1" w:themeShade="BF"/>
                        </w:rPr>
                        <w:fldChar w:fldCharType="separate"/>
                      </w:r>
                      <w:r>
                        <w:rPr>
                          <w:i/>
                          <w:color w:val="2E74B5" w:themeColor="accent1" w:themeShade="BF"/>
                        </w:rPr>
                        <w:t>4.1.1</w:t>
                      </w:r>
                      <w:r>
                        <w:rPr>
                          <w:i/>
                          <w:color w:val="2E74B5" w:themeColor="accent1" w:themeShade="BF"/>
                        </w:rPr>
                        <w:fldChar w:fldCharType="end"/>
                      </w:r>
                      <w:r>
                        <w:rPr>
                          <w:i/>
                          <w:color w:val="2E74B5" w:themeColor="accent1" w:themeShade="BF"/>
                        </w:rPr>
                        <w:t xml:space="preserve"> and </w:t>
                      </w:r>
                      <w:r>
                        <w:rPr>
                          <w:i/>
                          <w:color w:val="2E74B5" w:themeColor="accent1" w:themeShade="BF"/>
                        </w:rPr>
                        <w:fldChar w:fldCharType="begin"/>
                      </w:r>
                      <w:r>
                        <w:rPr>
                          <w:i/>
                          <w:color w:val="2E74B5" w:themeColor="accent1" w:themeShade="BF"/>
                        </w:rPr>
                        <w:instrText xml:space="preserve"> REF _Ref3285101 \r \h </w:instrText>
                      </w:r>
                      <w:r>
                        <w:rPr>
                          <w:i/>
                          <w:color w:val="2E74B5" w:themeColor="accent1" w:themeShade="BF"/>
                        </w:rPr>
                      </w:r>
                      <w:r>
                        <w:rPr>
                          <w:i/>
                          <w:color w:val="2E74B5" w:themeColor="accent1" w:themeShade="BF"/>
                        </w:rPr>
                        <w:fldChar w:fldCharType="separate"/>
                      </w:r>
                      <w:r>
                        <w:rPr>
                          <w:i/>
                          <w:color w:val="2E74B5" w:themeColor="accent1" w:themeShade="BF"/>
                        </w:rPr>
                        <w:t>4.1.2</w:t>
                      </w:r>
                      <w:r>
                        <w:rPr>
                          <w:i/>
                          <w:color w:val="2E74B5" w:themeColor="accent1" w:themeShade="BF"/>
                        </w:rPr>
                        <w:fldChar w:fldCharType="end"/>
                      </w:r>
                    </w:p>
                  </w:txbxContent>
                </v:textbox>
                <w10:anchorlock/>
              </v:shape>
            </w:pict>
          </mc:Fallback>
        </mc:AlternateContent>
      </w:r>
    </w:p>
    <w:p w14:paraId="3B3A300B" w14:textId="77777777" w:rsidR="000026BA" w:rsidRDefault="000026BA" w:rsidP="00302F4E">
      <w:pPr>
        <w:rPr>
          <w:rFonts w:cstheme="minorHAnsi"/>
        </w:rPr>
      </w:pPr>
    </w:p>
    <w:p w14:paraId="4251DBD4" w14:textId="77777777" w:rsidR="000026BA" w:rsidRDefault="000026BA" w:rsidP="00302F4E"/>
    <w:p w14:paraId="72FE9F8C" w14:textId="286A05F7" w:rsidR="00FC46BC" w:rsidRDefault="00091795" w:rsidP="00ED151B">
      <w:pPr>
        <w:pStyle w:val="BodyText"/>
        <w:jc w:val="both"/>
        <w:rPr>
          <w:rFonts w:cstheme="minorHAnsi"/>
        </w:rPr>
      </w:pPr>
      <w:r>
        <w:rPr>
          <w:noProof/>
        </w:rPr>
        <mc:AlternateContent>
          <mc:Choice Requires="wps">
            <w:drawing>
              <wp:inline distT="0" distB="0" distL="0" distR="0" wp14:anchorId="03B6DAF1" wp14:editId="18F9FE4F">
                <wp:extent cx="5692775" cy="6892290"/>
                <wp:effectExtent l="0" t="0" r="22225" b="22860"/>
                <wp:docPr id="31" name="Text Box 31"/>
                <wp:cNvGraphicFramePr/>
                <a:graphic xmlns:a="http://schemas.openxmlformats.org/drawingml/2006/main">
                  <a:graphicData uri="http://schemas.microsoft.com/office/word/2010/wordprocessingShape">
                    <wps:wsp>
                      <wps:cNvSpPr txBox="1"/>
                      <wps:spPr>
                        <a:xfrm>
                          <a:off x="0" y="0"/>
                          <a:ext cx="5692775" cy="689229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D1957DF" w14:textId="19DBB2C8" w:rsidR="00FA39D6" w:rsidRPr="00091795" w:rsidRDefault="00FA39D6" w:rsidP="00091795">
                            <w:pPr>
                              <w:pStyle w:val="ListNumber"/>
                              <w:numPr>
                                <w:ilvl w:val="0"/>
                                <w:numId w:val="0"/>
                              </w:numPr>
                              <w:jc w:val="both"/>
                              <w:rPr>
                                <w:b/>
                                <w:i/>
                                <w:color w:val="2E74B5" w:themeColor="accent1" w:themeShade="BF"/>
                              </w:rPr>
                            </w:pPr>
                            <w:r w:rsidRPr="00091795">
                              <w:rPr>
                                <w:b/>
                                <w:i/>
                                <w:color w:val="2E74B5" w:themeColor="accent1" w:themeShade="BF"/>
                              </w:rPr>
                              <w:t>My company has an application need (</w:t>
                            </w:r>
                            <w:proofErr w:type="spellStart"/>
                            <w:r w:rsidRPr="00091795">
                              <w:rPr>
                                <w:b/>
                                <w:i/>
                                <w:color w:val="2E74B5" w:themeColor="accent1" w:themeShade="BF"/>
                              </w:rPr>
                              <w:t>GxP</w:t>
                            </w:r>
                            <w:proofErr w:type="spellEnd"/>
                            <w:r w:rsidRPr="00091795">
                              <w:rPr>
                                <w:b/>
                                <w:i/>
                                <w:color w:val="2E74B5" w:themeColor="accent1" w:themeShade="BF"/>
                              </w:rPr>
                              <w:t xml:space="preserve"> process/solution</w:t>
                            </w:r>
                            <w:proofErr w:type="gramStart"/>
                            <w:r w:rsidRPr="00091795">
                              <w:rPr>
                                <w:b/>
                                <w:i/>
                                <w:color w:val="2E74B5" w:themeColor="accent1" w:themeShade="BF"/>
                              </w:rPr>
                              <w:t>), and</w:t>
                            </w:r>
                            <w:proofErr w:type="gramEnd"/>
                            <w:r w:rsidRPr="00091795">
                              <w:rPr>
                                <w:b/>
                                <w:i/>
                                <w:color w:val="2E74B5" w:themeColor="accent1" w:themeShade="BF"/>
                              </w:rPr>
                              <w:t xml:space="preserve"> would like to adopt a vendor provided SaaS platform. The vendor claims to have some customers that are Life Science companies. How do I proceed? </w:t>
                            </w:r>
                          </w:p>
                          <w:p w14:paraId="7FBE8471" w14:textId="77777777" w:rsidR="00FA39D6" w:rsidRDefault="00FA39D6" w:rsidP="00091795">
                            <w:pPr>
                              <w:pStyle w:val="ListNumber"/>
                              <w:numPr>
                                <w:ilvl w:val="0"/>
                                <w:numId w:val="0"/>
                              </w:numPr>
                              <w:jc w:val="both"/>
                              <w:rPr>
                                <w:i/>
                                <w:color w:val="2E74B5" w:themeColor="accent1" w:themeShade="BF"/>
                              </w:rPr>
                            </w:pPr>
                            <w:r w:rsidRPr="00091795">
                              <w:rPr>
                                <w:i/>
                                <w:color w:val="2E74B5" w:themeColor="accent1" w:themeShade="BF"/>
                              </w:rPr>
                              <w:t xml:space="preserve">Once you’ve begun to document your software user requirements, engage your IT Quality and/or Supplier Management resources.  An audit/assessment of the vendor’s solution should be the first step. Life Science customers may be using the solution, but not for </w:t>
                            </w:r>
                            <w:proofErr w:type="spellStart"/>
                            <w:r w:rsidRPr="00091795">
                              <w:rPr>
                                <w:i/>
                                <w:color w:val="2E74B5" w:themeColor="accent1" w:themeShade="BF"/>
                              </w:rPr>
                              <w:t>GxP</w:t>
                            </w:r>
                            <w:proofErr w:type="spellEnd"/>
                            <w:r w:rsidRPr="00091795">
                              <w:rPr>
                                <w:i/>
                                <w:color w:val="2E74B5" w:themeColor="accent1" w:themeShade="BF"/>
                              </w:rPr>
                              <w:t xml:space="preserve"> purposes, so it is important to determine the extent any </w:t>
                            </w:r>
                            <w:proofErr w:type="spellStart"/>
                            <w:r w:rsidRPr="00091795">
                              <w:rPr>
                                <w:i/>
                                <w:color w:val="2E74B5" w:themeColor="accent1" w:themeShade="BF"/>
                              </w:rPr>
                              <w:t>GxP</w:t>
                            </w:r>
                            <w:proofErr w:type="spellEnd"/>
                            <w:r w:rsidRPr="00091795">
                              <w:rPr>
                                <w:i/>
                                <w:color w:val="2E74B5" w:themeColor="accent1" w:themeShade="BF"/>
                              </w:rPr>
                              <w:t xml:space="preserve"> usage.</w:t>
                            </w:r>
                          </w:p>
                          <w:p w14:paraId="6C94101E" w14:textId="4AEBED38" w:rsidR="00FA39D6" w:rsidRPr="00091795" w:rsidRDefault="00FA39D6" w:rsidP="00091795">
                            <w:pPr>
                              <w:pStyle w:val="ListNumber"/>
                              <w:numPr>
                                <w:ilvl w:val="0"/>
                                <w:numId w:val="0"/>
                              </w:numPr>
                              <w:jc w:val="both"/>
                              <w:rPr>
                                <w:i/>
                                <w:color w:val="2E74B5" w:themeColor="accent1" w:themeShade="BF"/>
                              </w:rPr>
                            </w:pPr>
                            <w:r w:rsidRPr="00091795">
                              <w:rPr>
                                <w:i/>
                                <w:color w:val="2E74B5" w:themeColor="accent1" w:themeShade="BF"/>
                              </w:rPr>
                              <w:t>Verify the concept of the desired SaaS solution from the supplier perspective. Is it based on a Service Broker model, or a Service Provider-Broker model?</w:t>
                            </w:r>
                          </w:p>
                          <w:p w14:paraId="073B4E35" w14:textId="27D750D8" w:rsidR="00FA39D6" w:rsidRPr="00091795" w:rsidRDefault="00FA39D6" w:rsidP="00091795">
                            <w:pPr>
                              <w:pStyle w:val="ListNumber"/>
                              <w:numPr>
                                <w:ilvl w:val="0"/>
                                <w:numId w:val="0"/>
                              </w:numPr>
                              <w:jc w:val="both"/>
                              <w:rPr>
                                <w:i/>
                                <w:color w:val="2E74B5" w:themeColor="accent1" w:themeShade="BF"/>
                              </w:rPr>
                            </w:pPr>
                            <w:r w:rsidRPr="00091795">
                              <w:rPr>
                                <w:i/>
                                <w:color w:val="2E74B5" w:themeColor="accent1" w:themeShade="BF"/>
                              </w:rPr>
                              <w:t xml:space="preserve">For more information, see section </w:t>
                            </w:r>
                            <w:r>
                              <w:rPr>
                                <w:i/>
                                <w:color w:val="2E74B5" w:themeColor="accent1" w:themeShade="BF"/>
                              </w:rPr>
                              <w:fldChar w:fldCharType="begin"/>
                            </w:r>
                            <w:r>
                              <w:rPr>
                                <w:i/>
                                <w:color w:val="2E74B5" w:themeColor="accent1" w:themeShade="BF"/>
                              </w:rPr>
                              <w:instrText xml:space="preserve"> REF _Ref3283278 \r \h </w:instrText>
                            </w:r>
                            <w:r>
                              <w:rPr>
                                <w:i/>
                                <w:color w:val="2E74B5" w:themeColor="accent1" w:themeShade="BF"/>
                              </w:rPr>
                            </w:r>
                            <w:r>
                              <w:rPr>
                                <w:i/>
                                <w:color w:val="2E74B5" w:themeColor="accent1" w:themeShade="BF"/>
                              </w:rPr>
                              <w:fldChar w:fldCharType="separate"/>
                            </w:r>
                            <w:r>
                              <w:rPr>
                                <w:i/>
                                <w:color w:val="2E74B5" w:themeColor="accent1" w:themeShade="BF"/>
                              </w:rPr>
                              <w:t>3.2.2</w:t>
                            </w:r>
                            <w:r>
                              <w:rPr>
                                <w:i/>
                                <w:color w:val="2E74B5" w:themeColor="accent1" w:themeShade="BF"/>
                              </w:rPr>
                              <w:fldChar w:fldCharType="end"/>
                            </w:r>
                          </w:p>
                          <w:p w14:paraId="0933EBBF" w14:textId="77777777" w:rsidR="00FA39D6" w:rsidRPr="00091795" w:rsidRDefault="00FA39D6" w:rsidP="00091795">
                            <w:pPr>
                              <w:pStyle w:val="ListNumber"/>
                              <w:numPr>
                                <w:ilvl w:val="0"/>
                                <w:numId w:val="0"/>
                              </w:numPr>
                              <w:jc w:val="both"/>
                              <w:rPr>
                                <w:i/>
                                <w:color w:val="2E74B5" w:themeColor="accent1" w:themeShade="BF"/>
                              </w:rPr>
                            </w:pPr>
                            <w:r w:rsidRPr="00091795">
                              <w:rPr>
                                <w:i/>
                                <w:color w:val="2E74B5" w:themeColor="accent1" w:themeShade="BF"/>
                              </w:rPr>
                              <w:t>You should determine where the solution is hosted prior to the audit or assessment. Is it the vendor’s data center? Is it a sub-contracted 3rd party data center?  Where is the data center(s) located?</w:t>
                            </w:r>
                          </w:p>
                          <w:p w14:paraId="27E7C379" w14:textId="77777777" w:rsidR="00FA39D6" w:rsidRPr="00091795" w:rsidRDefault="00FA39D6" w:rsidP="00091795">
                            <w:pPr>
                              <w:pStyle w:val="ListNumber"/>
                              <w:numPr>
                                <w:ilvl w:val="0"/>
                                <w:numId w:val="36"/>
                              </w:numPr>
                              <w:jc w:val="both"/>
                              <w:rPr>
                                <w:i/>
                                <w:color w:val="2E74B5" w:themeColor="accent1" w:themeShade="BF"/>
                              </w:rPr>
                            </w:pPr>
                            <w:r w:rsidRPr="00091795">
                              <w:rPr>
                                <w:i/>
                                <w:color w:val="2E74B5" w:themeColor="accent1" w:themeShade="BF"/>
                              </w:rPr>
                              <w:t>If the vendor is the host, you will need to assess the data center controls for security, building management, etc. in addition to the supplier’s software Quality Management System and Software Development processes.</w:t>
                            </w:r>
                          </w:p>
                          <w:p w14:paraId="0142BE92" w14:textId="6BE43BD0" w:rsidR="00FA39D6" w:rsidRPr="00091795" w:rsidRDefault="00FA39D6" w:rsidP="00091795">
                            <w:pPr>
                              <w:pStyle w:val="ListNumber"/>
                              <w:numPr>
                                <w:ilvl w:val="0"/>
                                <w:numId w:val="36"/>
                              </w:numPr>
                              <w:jc w:val="both"/>
                              <w:rPr>
                                <w:i/>
                                <w:color w:val="2E74B5" w:themeColor="accent1" w:themeShade="BF"/>
                              </w:rPr>
                            </w:pPr>
                            <w:r w:rsidRPr="00091795">
                              <w:rPr>
                                <w:i/>
                                <w:color w:val="2E74B5" w:themeColor="accent1" w:themeShade="BF"/>
                              </w:rPr>
                              <w:t>If a 3</w:t>
                            </w:r>
                            <w:r w:rsidRPr="00091795">
                              <w:rPr>
                                <w:i/>
                                <w:color w:val="2E74B5" w:themeColor="accent1" w:themeShade="BF"/>
                                <w:vertAlign w:val="superscript"/>
                              </w:rPr>
                              <w:t>rd</w:t>
                            </w:r>
                            <w:r>
                              <w:rPr>
                                <w:i/>
                                <w:color w:val="2E74B5" w:themeColor="accent1" w:themeShade="BF"/>
                              </w:rPr>
                              <w:t xml:space="preserve"> </w:t>
                            </w:r>
                            <w:r w:rsidRPr="00091795">
                              <w:rPr>
                                <w:i/>
                                <w:color w:val="2E74B5" w:themeColor="accent1" w:themeShade="BF"/>
                              </w:rPr>
                              <w:t xml:space="preserve">party, you will also need to diligently assess the SaaS vendor’s Supplier </w:t>
                            </w:r>
                            <w:r w:rsidR="00E5341A" w:rsidRPr="00091795">
                              <w:rPr>
                                <w:i/>
                                <w:color w:val="2E74B5" w:themeColor="accent1" w:themeShade="BF"/>
                              </w:rPr>
                              <w:t>Mgmt.</w:t>
                            </w:r>
                            <w:r w:rsidRPr="00091795">
                              <w:rPr>
                                <w:i/>
                                <w:color w:val="2E74B5" w:themeColor="accent1" w:themeShade="BF"/>
                              </w:rPr>
                              <w:t xml:space="preserve"> process/controls. Did they perform a robust review of the data center controls? Do they have contractual compliance requirements in place with the sub-contractor?</w:t>
                            </w:r>
                          </w:p>
                          <w:p w14:paraId="789590B2" w14:textId="77777777" w:rsidR="00FA39D6" w:rsidRPr="00091795" w:rsidRDefault="00FA39D6" w:rsidP="00091795">
                            <w:pPr>
                              <w:pStyle w:val="ListNumber"/>
                              <w:numPr>
                                <w:ilvl w:val="0"/>
                                <w:numId w:val="36"/>
                              </w:numPr>
                              <w:jc w:val="both"/>
                              <w:rPr>
                                <w:i/>
                                <w:color w:val="2E74B5" w:themeColor="accent1" w:themeShade="BF"/>
                              </w:rPr>
                            </w:pPr>
                            <w:r w:rsidRPr="00091795">
                              <w:rPr>
                                <w:i/>
                                <w:color w:val="2E74B5" w:themeColor="accent1" w:themeShade="BF"/>
                              </w:rPr>
                              <w:t>Location of the data center is important depending on a) application use case and b) potential Privacy concerns.</w:t>
                            </w:r>
                          </w:p>
                          <w:p w14:paraId="1CDCFC92" w14:textId="4125E893" w:rsidR="00FA39D6" w:rsidRPr="00091795" w:rsidRDefault="00FA39D6" w:rsidP="00091795">
                            <w:pPr>
                              <w:pStyle w:val="ListNumber"/>
                              <w:numPr>
                                <w:ilvl w:val="0"/>
                                <w:numId w:val="36"/>
                              </w:numPr>
                              <w:jc w:val="both"/>
                              <w:rPr>
                                <w:i/>
                                <w:color w:val="2E74B5" w:themeColor="accent1" w:themeShade="BF"/>
                              </w:rPr>
                            </w:pPr>
                            <w:r w:rsidRPr="00091795">
                              <w:rPr>
                                <w:i/>
                                <w:color w:val="2E74B5" w:themeColor="accent1" w:themeShade="BF"/>
                              </w:rPr>
                              <w:t>External assessment reports from qualified 3</w:t>
                            </w:r>
                            <w:r w:rsidRPr="00091795">
                              <w:rPr>
                                <w:i/>
                                <w:color w:val="2E74B5" w:themeColor="accent1" w:themeShade="BF"/>
                                <w:vertAlign w:val="superscript"/>
                              </w:rPr>
                              <w:t>rd</w:t>
                            </w:r>
                            <w:r>
                              <w:rPr>
                                <w:i/>
                                <w:color w:val="2E74B5" w:themeColor="accent1" w:themeShade="BF"/>
                              </w:rPr>
                              <w:t xml:space="preserve"> </w:t>
                            </w:r>
                            <w:r w:rsidRPr="00091795">
                              <w:rPr>
                                <w:i/>
                                <w:color w:val="2E74B5" w:themeColor="accent1" w:themeShade="BF"/>
                              </w:rPr>
                              <w:t>party resources may be adopted as input, i.e., SOC or ISO reports in relation to security and quality controls.</w:t>
                            </w:r>
                          </w:p>
                          <w:p w14:paraId="64D22E4D" w14:textId="1675A23E" w:rsidR="00FA39D6" w:rsidRPr="00091795" w:rsidRDefault="00FA39D6" w:rsidP="00091795">
                            <w:pPr>
                              <w:pStyle w:val="ListNumber"/>
                              <w:numPr>
                                <w:ilvl w:val="0"/>
                                <w:numId w:val="0"/>
                              </w:numPr>
                              <w:jc w:val="both"/>
                              <w:rPr>
                                <w:i/>
                                <w:color w:val="2E74B5" w:themeColor="accent1" w:themeShade="BF"/>
                              </w:rPr>
                            </w:pPr>
                            <w:r w:rsidRPr="00091795">
                              <w:rPr>
                                <w:i/>
                                <w:color w:val="2E74B5" w:themeColor="accent1" w:themeShade="BF"/>
                              </w:rPr>
                              <w:t>For more on audit/assessment considerations, s</w:t>
                            </w:r>
                            <w:r>
                              <w:rPr>
                                <w:i/>
                                <w:color w:val="2E74B5" w:themeColor="accent1" w:themeShade="BF"/>
                              </w:rPr>
                              <w:t xml:space="preserve">ee </w:t>
                            </w:r>
                            <w:r w:rsidRPr="00091795">
                              <w:rPr>
                                <w:i/>
                                <w:color w:val="2E74B5" w:themeColor="accent1" w:themeShade="BF"/>
                              </w:rPr>
                              <w:t>Cloud Services – Audit Activities</w:t>
                            </w:r>
                            <w:r>
                              <w:rPr>
                                <w:i/>
                                <w:color w:val="2E74B5" w:themeColor="accent1" w:themeShade="BF"/>
                              </w:rPr>
                              <w:t xml:space="preserve"> </w:t>
                            </w:r>
                            <w:proofErr w:type="gramStart"/>
                            <w:r>
                              <w:rPr>
                                <w:i/>
                                <w:color w:val="2E74B5" w:themeColor="accent1" w:themeShade="BF"/>
                              </w:rPr>
                              <w:t>document</w:t>
                            </w:r>
                            <w:proofErr w:type="gramEnd"/>
                            <w:r>
                              <w:rPr>
                                <w:i/>
                                <w:color w:val="2E74B5" w:themeColor="accent1" w:themeShade="BF"/>
                              </w:rPr>
                              <w:tab/>
                            </w:r>
                          </w:p>
                          <w:p w14:paraId="6E4721D4" w14:textId="77777777" w:rsidR="00FA39D6" w:rsidRPr="00091795" w:rsidRDefault="00FA39D6" w:rsidP="00091795">
                            <w:pPr>
                              <w:pStyle w:val="ListNumber"/>
                              <w:numPr>
                                <w:ilvl w:val="0"/>
                                <w:numId w:val="0"/>
                              </w:numPr>
                              <w:jc w:val="both"/>
                              <w:rPr>
                                <w:i/>
                                <w:color w:val="2E74B5" w:themeColor="accent1" w:themeShade="BF"/>
                              </w:rPr>
                            </w:pPr>
                            <w:r w:rsidRPr="00091795">
                              <w:rPr>
                                <w:i/>
                                <w:color w:val="2E74B5" w:themeColor="accent1" w:themeShade="BF"/>
                              </w:rPr>
                              <w:t>Should the results of the audit/assessment be satisfactory, proceed to the establishment of the contract with the vendor. Care should be taken to ensure based on your use case that critical compliance requirements of the vendor are included. It may also be possible to include identified opportunities from the audit/assessment considered to be non-critical as deliverables.</w:t>
                            </w:r>
                          </w:p>
                          <w:p w14:paraId="39E9A466" w14:textId="77777777" w:rsidR="00FA39D6" w:rsidRPr="00091795" w:rsidRDefault="00FA39D6" w:rsidP="00091795">
                            <w:pPr>
                              <w:pStyle w:val="ListNumber"/>
                              <w:numPr>
                                <w:ilvl w:val="0"/>
                                <w:numId w:val="0"/>
                              </w:numPr>
                              <w:jc w:val="both"/>
                              <w:rPr>
                                <w:i/>
                                <w:color w:val="2E74B5" w:themeColor="accent1" w:themeShade="BF"/>
                              </w:rPr>
                            </w:pPr>
                            <w:r w:rsidRPr="00091795">
                              <w:rPr>
                                <w:i/>
                                <w:color w:val="2E74B5" w:themeColor="accent1" w:themeShade="BF"/>
                              </w:rPr>
                              <w:t>Ensure that the ongoing ability to audit/assess vendor’s processes on an agreed upon frequency as well as “for cause” situations are included.</w:t>
                            </w:r>
                          </w:p>
                          <w:p w14:paraId="20A60B26" w14:textId="5354A390" w:rsidR="00FA39D6" w:rsidRPr="009B4C6B" w:rsidRDefault="00FA39D6" w:rsidP="00091795">
                            <w:pPr>
                              <w:pStyle w:val="ListNumber"/>
                              <w:numPr>
                                <w:ilvl w:val="0"/>
                                <w:numId w:val="0"/>
                              </w:numPr>
                              <w:jc w:val="both"/>
                              <w:rPr>
                                <w:i/>
                                <w:color w:val="2E74B5" w:themeColor="accent1" w:themeShade="BF"/>
                              </w:rPr>
                            </w:pPr>
                            <w:r w:rsidRPr="00091795">
                              <w:rPr>
                                <w:i/>
                                <w:color w:val="2E74B5" w:themeColor="accent1" w:themeShade="BF"/>
                              </w:rPr>
                              <w:t>For more on contractual considerations, see section 4.2 of the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B6DAF1" id="Text Box 31" o:spid="_x0000_s1046" type="#_x0000_t202" style="width:448.25pt;height:54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" filled="f" strokecolor="#5b9bd5 [3204]">
                <v:textbox>
                  <w:txbxContent>
                    <w:p w14:paraId="2D1957DF" w14:textId="19DBB2C8" w:rsidR="00FA39D6" w:rsidRPr="00091795" w:rsidRDefault="00FA39D6" w:rsidP="00091795">
                      <w:pPr>
                        <w:pStyle w:val="ListNumber"/>
                        <w:numPr>
                          <w:ilvl w:val="0"/>
                          <w:numId w:val="0"/>
                        </w:numPr>
                        <w:jc w:val="both"/>
                        <w:rPr>
                          <w:b/>
                          <w:i/>
                          <w:color w:val="2E74B5" w:themeColor="accent1" w:themeShade="BF"/>
                        </w:rPr>
                      </w:pPr>
                      <w:r w:rsidRPr="00091795">
                        <w:rPr>
                          <w:b/>
                          <w:i/>
                          <w:color w:val="2E74B5" w:themeColor="accent1" w:themeShade="BF"/>
                        </w:rPr>
                        <w:t>My company has an application need (</w:t>
                      </w:r>
                      <w:proofErr w:type="spellStart"/>
                      <w:r w:rsidRPr="00091795">
                        <w:rPr>
                          <w:b/>
                          <w:i/>
                          <w:color w:val="2E74B5" w:themeColor="accent1" w:themeShade="BF"/>
                        </w:rPr>
                        <w:t>GxP</w:t>
                      </w:r>
                      <w:proofErr w:type="spellEnd"/>
                      <w:r w:rsidRPr="00091795">
                        <w:rPr>
                          <w:b/>
                          <w:i/>
                          <w:color w:val="2E74B5" w:themeColor="accent1" w:themeShade="BF"/>
                        </w:rPr>
                        <w:t xml:space="preserve"> process/solution</w:t>
                      </w:r>
                      <w:proofErr w:type="gramStart"/>
                      <w:r w:rsidRPr="00091795">
                        <w:rPr>
                          <w:b/>
                          <w:i/>
                          <w:color w:val="2E74B5" w:themeColor="accent1" w:themeShade="BF"/>
                        </w:rPr>
                        <w:t>), and</w:t>
                      </w:r>
                      <w:proofErr w:type="gramEnd"/>
                      <w:r w:rsidRPr="00091795">
                        <w:rPr>
                          <w:b/>
                          <w:i/>
                          <w:color w:val="2E74B5" w:themeColor="accent1" w:themeShade="BF"/>
                        </w:rPr>
                        <w:t xml:space="preserve"> would like to adopt a vendor provided SaaS platform. The vendor claims to have some customers that are Life Science companies. How do I proceed? </w:t>
                      </w:r>
                    </w:p>
                    <w:p w14:paraId="7FBE8471" w14:textId="77777777" w:rsidR="00FA39D6" w:rsidRDefault="00FA39D6" w:rsidP="00091795">
                      <w:pPr>
                        <w:pStyle w:val="ListNumber"/>
                        <w:numPr>
                          <w:ilvl w:val="0"/>
                          <w:numId w:val="0"/>
                        </w:numPr>
                        <w:jc w:val="both"/>
                        <w:rPr>
                          <w:i/>
                          <w:color w:val="2E74B5" w:themeColor="accent1" w:themeShade="BF"/>
                        </w:rPr>
                      </w:pPr>
                      <w:r w:rsidRPr="00091795">
                        <w:rPr>
                          <w:i/>
                          <w:color w:val="2E74B5" w:themeColor="accent1" w:themeShade="BF"/>
                        </w:rPr>
                        <w:t xml:space="preserve">Once you’ve begun to document your software user requirements, engage your IT Quality and/or Supplier Management resources.  An audit/assessment of the vendor’s solution should be the first step. Life Science customers may be using the solution, but not for </w:t>
                      </w:r>
                      <w:proofErr w:type="spellStart"/>
                      <w:r w:rsidRPr="00091795">
                        <w:rPr>
                          <w:i/>
                          <w:color w:val="2E74B5" w:themeColor="accent1" w:themeShade="BF"/>
                        </w:rPr>
                        <w:t>GxP</w:t>
                      </w:r>
                      <w:proofErr w:type="spellEnd"/>
                      <w:r w:rsidRPr="00091795">
                        <w:rPr>
                          <w:i/>
                          <w:color w:val="2E74B5" w:themeColor="accent1" w:themeShade="BF"/>
                        </w:rPr>
                        <w:t xml:space="preserve"> purposes, so it is important to determine the extent any </w:t>
                      </w:r>
                      <w:proofErr w:type="spellStart"/>
                      <w:r w:rsidRPr="00091795">
                        <w:rPr>
                          <w:i/>
                          <w:color w:val="2E74B5" w:themeColor="accent1" w:themeShade="BF"/>
                        </w:rPr>
                        <w:t>GxP</w:t>
                      </w:r>
                      <w:proofErr w:type="spellEnd"/>
                      <w:r w:rsidRPr="00091795">
                        <w:rPr>
                          <w:i/>
                          <w:color w:val="2E74B5" w:themeColor="accent1" w:themeShade="BF"/>
                        </w:rPr>
                        <w:t xml:space="preserve"> usage.</w:t>
                      </w:r>
                    </w:p>
                    <w:p w14:paraId="6C94101E" w14:textId="4AEBED38" w:rsidR="00FA39D6" w:rsidRPr="00091795" w:rsidRDefault="00FA39D6" w:rsidP="00091795">
                      <w:pPr>
                        <w:pStyle w:val="ListNumber"/>
                        <w:numPr>
                          <w:ilvl w:val="0"/>
                          <w:numId w:val="0"/>
                        </w:numPr>
                        <w:jc w:val="both"/>
                        <w:rPr>
                          <w:i/>
                          <w:color w:val="2E74B5" w:themeColor="accent1" w:themeShade="BF"/>
                        </w:rPr>
                      </w:pPr>
                      <w:r w:rsidRPr="00091795">
                        <w:rPr>
                          <w:i/>
                          <w:color w:val="2E74B5" w:themeColor="accent1" w:themeShade="BF"/>
                        </w:rPr>
                        <w:t>Verify the concept of the desired SaaS solution from the supplier perspective. Is it based on a Service Broker model, or a Service Provider-Broker model?</w:t>
                      </w:r>
                    </w:p>
                    <w:p w14:paraId="073B4E35" w14:textId="27D750D8" w:rsidR="00FA39D6" w:rsidRPr="00091795" w:rsidRDefault="00FA39D6" w:rsidP="00091795">
                      <w:pPr>
                        <w:pStyle w:val="ListNumber"/>
                        <w:numPr>
                          <w:ilvl w:val="0"/>
                          <w:numId w:val="0"/>
                        </w:numPr>
                        <w:jc w:val="both"/>
                        <w:rPr>
                          <w:i/>
                          <w:color w:val="2E74B5" w:themeColor="accent1" w:themeShade="BF"/>
                        </w:rPr>
                      </w:pPr>
                      <w:r w:rsidRPr="00091795">
                        <w:rPr>
                          <w:i/>
                          <w:color w:val="2E74B5" w:themeColor="accent1" w:themeShade="BF"/>
                        </w:rPr>
                        <w:t xml:space="preserve">For more information, see section </w:t>
                      </w:r>
                      <w:r>
                        <w:rPr>
                          <w:i/>
                          <w:color w:val="2E74B5" w:themeColor="accent1" w:themeShade="BF"/>
                        </w:rPr>
                        <w:fldChar w:fldCharType="begin"/>
                      </w:r>
                      <w:r>
                        <w:rPr>
                          <w:i/>
                          <w:color w:val="2E74B5" w:themeColor="accent1" w:themeShade="BF"/>
                        </w:rPr>
                        <w:instrText xml:space="preserve"> REF _Ref3283278 \r \h </w:instrText>
                      </w:r>
                      <w:r>
                        <w:rPr>
                          <w:i/>
                          <w:color w:val="2E74B5" w:themeColor="accent1" w:themeShade="BF"/>
                        </w:rPr>
                      </w:r>
                      <w:r>
                        <w:rPr>
                          <w:i/>
                          <w:color w:val="2E74B5" w:themeColor="accent1" w:themeShade="BF"/>
                        </w:rPr>
                        <w:fldChar w:fldCharType="separate"/>
                      </w:r>
                      <w:r>
                        <w:rPr>
                          <w:i/>
                          <w:color w:val="2E74B5" w:themeColor="accent1" w:themeShade="BF"/>
                        </w:rPr>
                        <w:t>3.2.2</w:t>
                      </w:r>
                      <w:r>
                        <w:rPr>
                          <w:i/>
                          <w:color w:val="2E74B5" w:themeColor="accent1" w:themeShade="BF"/>
                        </w:rPr>
                        <w:fldChar w:fldCharType="end"/>
                      </w:r>
                    </w:p>
                    <w:p w14:paraId="0933EBBF" w14:textId="77777777" w:rsidR="00FA39D6" w:rsidRPr="00091795" w:rsidRDefault="00FA39D6" w:rsidP="00091795">
                      <w:pPr>
                        <w:pStyle w:val="ListNumber"/>
                        <w:numPr>
                          <w:ilvl w:val="0"/>
                          <w:numId w:val="0"/>
                        </w:numPr>
                        <w:jc w:val="both"/>
                        <w:rPr>
                          <w:i/>
                          <w:color w:val="2E74B5" w:themeColor="accent1" w:themeShade="BF"/>
                        </w:rPr>
                      </w:pPr>
                      <w:r w:rsidRPr="00091795">
                        <w:rPr>
                          <w:i/>
                          <w:color w:val="2E74B5" w:themeColor="accent1" w:themeShade="BF"/>
                        </w:rPr>
                        <w:t>You should determine where the solution is hosted prior to the audit or assessment. Is it the vendor’s data center? Is it a sub-contracted 3rd party data center?  Where is the data center(s) located?</w:t>
                      </w:r>
                    </w:p>
                    <w:p w14:paraId="27E7C379" w14:textId="77777777" w:rsidR="00FA39D6" w:rsidRPr="00091795" w:rsidRDefault="00FA39D6" w:rsidP="00091795">
                      <w:pPr>
                        <w:pStyle w:val="ListNumber"/>
                        <w:numPr>
                          <w:ilvl w:val="0"/>
                          <w:numId w:val="36"/>
                        </w:numPr>
                        <w:jc w:val="both"/>
                        <w:rPr>
                          <w:i/>
                          <w:color w:val="2E74B5" w:themeColor="accent1" w:themeShade="BF"/>
                        </w:rPr>
                      </w:pPr>
                      <w:r w:rsidRPr="00091795">
                        <w:rPr>
                          <w:i/>
                          <w:color w:val="2E74B5" w:themeColor="accent1" w:themeShade="BF"/>
                        </w:rPr>
                        <w:t>If the vendor is the host, you will need to assess the data center controls for security, building management, etc. in addition to the supplier’s software Quality Management System and Software Development processes.</w:t>
                      </w:r>
                    </w:p>
                    <w:p w14:paraId="0142BE92" w14:textId="6BE43BD0" w:rsidR="00FA39D6" w:rsidRPr="00091795" w:rsidRDefault="00FA39D6" w:rsidP="00091795">
                      <w:pPr>
                        <w:pStyle w:val="ListNumber"/>
                        <w:numPr>
                          <w:ilvl w:val="0"/>
                          <w:numId w:val="36"/>
                        </w:numPr>
                        <w:jc w:val="both"/>
                        <w:rPr>
                          <w:i/>
                          <w:color w:val="2E74B5" w:themeColor="accent1" w:themeShade="BF"/>
                        </w:rPr>
                      </w:pPr>
                      <w:r w:rsidRPr="00091795">
                        <w:rPr>
                          <w:i/>
                          <w:color w:val="2E74B5" w:themeColor="accent1" w:themeShade="BF"/>
                        </w:rPr>
                        <w:t>If a 3</w:t>
                      </w:r>
                      <w:r w:rsidRPr="00091795">
                        <w:rPr>
                          <w:i/>
                          <w:color w:val="2E74B5" w:themeColor="accent1" w:themeShade="BF"/>
                          <w:vertAlign w:val="superscript"/>
                        </w:rPr>
                        <w:t>rd</w:t>
                      </w:r>
                      <w:r>
                        <w:rPr>
                          <w:i/>
                          <w:color w:val="2E74B5" w:themeColor="accent1" w:themeShade="BF"/>
                        </w:rPr>
                        <w:t xml:space="preserve"> </w:t>
                      </w:r>
                      <w:r w:rsidRPr="00091795">
                        <w:rPr>
                          <w:i/>
                          <w:color w:val="2E74B5" w:themeColor="accent1" w:themeShade="BF"/>
                        </w:rPr>
                        <w:t xml:space="preserve">party, you will also need to diligently assess the SaaS vendor’s Supplier </w:t>
                      </w:r>
                      <w:r w:rsidR="00E5341A" w:rsidRPr="00091795">
                        <w:rPr>
                          <w:i/>
                          <w:color w:val="2E74B5" w:themeColor="accent1" w:themeShade="BF"/>
                        </w:rPr>
                        <w:t>Mgmt.</w:t>
                      </w:r>
                      <w:r w:rsidRPr="00091795">
                        <w:rPr>
                          <w:i/>
                          <w:color w:val="2E74B5" w:themeColor="accent1" w:themeShade="BF"/>
                        </w:rPr>
                        <w:t xml:space="preserve"> process/controls. Did they perform a robust review of the data center controls? Do they have contractual compliance requirements in place with the sub-contractor?</w:t>
                      </w:r>
                    </w:p>
                    <w:p w14:paraId="789590B2" w14:textId="77777777" w:rsidR="00FA39D6" w:rsidRPr="00091795" w:rsidRDefault="00FA39D6" w:rsidP="00091795">
                      <w:pPr>
                        <w:pStyle w:val="ListNumber"/>
                        <w:numPr>
                          <w:ilvl w:val="0"/>
                          <w:numId w:val="36"/>
                        </w:numPr>
                        <w:jc w:val="both"/>
                        <w:rPr>
                          <w:i/>
                          <w:color w:val="2E74B5" w:themeColor="accent1" w:themeShade="BF"/>
                        </w:rPr>
                      </w:pPr>
                      <w:r w:rsidRPr="00091795">
                        <w:rPr>
                          <w:i/>
                          <w:color w:val="2E74B5" w:themeColor="accent1" w:themeShade="BF"/>
                        </w:rPr>
                        <w:t>Location of the data center is important depending on a) application use case and b) potential Privacy concerns.</w:t>
                      </w:r>
                    </w:p>
                    <w:p w14:paraId="1CDCFC92" w14:textId="4125E893" w:rsidR="00FA39D6" w:rsidRPr="00091795" w:rsidRDefault="00FA39D6" w:rsidP="00091795">
                      <w:pPr>
                        <w:pStyle w:val="ListNumber"/>
                        <w:numPr>
                          <w:ilvl w:val="0"/>
                          <w:numId w:val="36"/>
                        </w:numPr>
                        <w:jc w:val="both"/>
                        <w:rPr>
                          <w:i/>
                          <w:color w:val="2E74B5" w:themeColor="accent1" w:themeShade="BF"/>
                        </w:rPr>
                      </w:pPr>
                      <w:r w:rsidRPr="00091795">
                        <w:rPr>
                          <w:i/>
                          <w:color w:val="2E74B5" w:themeColor="accent1" w:themeShade="BF"/>
                        </w:rPr>
                        <w:t>External assessment reports from qualified 3</w:t>
                      </w:r>
                      <w:r w:rsidRPr="00091795">
                        <w:rPr>
                          <w:i/>
                          <w:color w:val="2E74B5" w:themeColor="accent1" w:themeShade="BF"/>
                          <w:vertAlign w:val="superscript"/>
                        </w:rPr>
                        <w:t>rd</w:t>
                      </w:r>
                      <w:r>
                        <w:rPr>
                          <w:i/>
                          <w:color w:val="2E74B5" w:themeColor="accent1" w:themeShade="BF"/>
                        </w:rPr>
                        <w:t xml:space="preserve"> </w:t>
                      </w:r>
                      <w:r w:rsidRPr="00091795">
                        <w:rPr>
                          <w:i/>
                          <w:color w:val="2E74B5" w:themeColor="accent1" w:themeShade="BF"/>
                        </w:rPr>
                        <w:t>party resources may be adopted as input, i.e., SOC or ISO reports in relation to security and quality controls.</w:t>
                      </w:r>
                    </w:p>
                    <w:p w14:paraId="64D22E4D" w14:textId="1675A23E" w:rsidR="00FA39D6" w:rsidRPr="00091795" w:rsidRDefault="00FA39D6" w:rsidP="00091795">
                      <w:pPr>
                        <w:pStyle w:val="ListNumber"/>
                        <w:numPr>
                          <w:ilvl w:val="0"/>
                          <w:numId w:val="0"/>
                        </w:numPr>
                        <w:jc w:val="both"/>
                        <w:rPr>
                          <w:i/>
                          <w:color w:val="2E74B5" w:themeColor="accent1" w:themeShade="BF"/>
                        </w:rPr>
                      </w:pPr>
                      <w:r w:rsidRPr="00091795">
                        <w:rPr>
                          <w:i/>
                          <w:color w:val="2E74B5" w:themeColor="accent1" w:themeShade="BF"/>
                        </w:rPr>
                        <w:t>For more on audit/assessment considerations, s</w:t>
                      </w:r>
                      <w:r>
                        <w:rPr>
                          <w:i/>
                          <w:color w:val="2E74B5" w:themeColor="accent1" w:themeShade="BF"/>
                        </w:rPr>
                        <w:t xml:space="preserve">ee </w:t>
                      </w:r>
                      <w:r w:rsidRPr="00091795">
                        <w:rPr>
                          <w:i/>
                          <w:color w:val="2E74B5" w:themeColor="accent1" w:themeShade="BF"/>
                        </w:rPr>
                        <w:t>Cloud Services – Audit Activities</w:t>
                      </w:r>
                      <w:r>
                        <w:rPr>
                          <w:i/>
                          <w:color w:val="2E74B5" w:themeColor="accent1" w:themeShade="BF"/>
                        </w:rPr>
                        <w:t xml:space="preserve"> </w:t>
                      </w:r>
                      <w:proofErr w:type="gramStart"/>
                      <w:r>
                        <w:rPr>
                          <w:i/>
                          <w:color w:val="2E74B5" w:themeColor="accent1" w:themeShade="BF"/>
                        </w:rPr>
                        <w:t>document</w:t>
                      </w:r>
                      <w:proofErr w:type="gramEnd"/>
                      <w:r>
                        <w:rPr>
                          <w:i/>
                          <w:color w:val="2E74B5" w:themeColor="accent1" w:themeShade="BF"/>
                        </w:rPr>
                        <w:tab/>
                      </w:r>
                    </w:p>
                    <w:p w14:paraId="6E4721D4" w14:textId="77777777" w:rsidR="00FA39D6" w:rsidRPr="00091795" w:rsidRDefault="00FA39D6" w:rsidP="00091795">
                      <w:pPr>
                        <w:pStyle w:val="ListNumber"/>
                        <w:numPr>
                          <w:ilvl w:val="0"/>
                          <w:numId w:val="0"/>
                        </w:numPr>
                        <w:jc w:val="both"/>
                        <w:rPr>
                          <w:i/>
                          <w:color w:val="2E74B5" w:themeColor="accent1" w:themeShade="BF"/>
                        </w:rPr>
                      </w:pPr>
                      <w:r w:rsidRPr="00091795">
                        <w:rPr>
                          <w:i/>
                          <w:color w:val="2E74B5" w:themeColor="accent1" w:themeShade="BF"/>
                        </w:rPr>
                        <w:t>Should the results of the audit/assessment be satisfactory, proceed to the establishment of the contract with the vendor. Care should be taken to ensure based on your use case that critical compliance requirements of the vendor are included. It may also be possible to include identified opportunities from the audit/assessment considered to be non-critical as deliverables.</w:t>
                      </w:r>
                    </w:p>
                    <w:p w14:paraId="39E9A466" w14:textId="77777777" w:rsidR="00FA39D6" w:rsidRPr="00091795" w:rsidRDefault="00FA39D6" w:rsidP="00091795">
                      <w:pPr>
                        <w:pStyle w:val="ListNumber"/>
                        <w:numPr>
                          <w:ilvl w:val="0"/>
                          <w:numId w:val="0"/>
                        </w:numPr>
                        <w:jc w:val="both"/>
                        <w:rPr>
                          <w:i/>
                          <w:color w:val="2E74B5" w:themeColor="accent1" w:themeShade="BF"/>
                        </w:rPr>
                      </w:pPr>
                      <w:r w:rsidRPr="00091795">
                        <w:rPr>
                          <w:i/>
                          <w:color w:val="2E74B5" w:themeColor="accent1" w:themeShade="BF"/>
                        </w:rPr>
                        <w:t>Ensure that the ongoing ability to audit/assess vendor’s processes on an agreed upon frequency as well as “for cause” situations are included.</w:t>
                      </w:r>
                    </w:p>
                    <w:p w14:paraId="20A60B26" w14:textId="5354A390" w:rsidR="00FA39D6" w:rsidRPr="009B4C6B" w:rsidRDefault="00FA39D6" w:rsidP="00091795">
                      <w:pPr>
                        <w:pStyle w:val="ListNumber"/>
                        <w:numPr>
                          <w:ilvl w:val="0"/>
                          <w:numId w:val="0"/>
                        </w:numPr>
                        <w:jc w:val="both"/>
                        <w:rPr>
                          <w:i/>
                          <w:color w:val="2E74B5" w:themeColor="accent1" w:themeShade="BF"/>
                        </w:rPr>
                      </w:pPr>
                      <w:r w:rsidRPr="00091795">
                        <w:rPr>
                          <w:i/>
                          <w:color w:val="2E74B5" w:themeColor="accent1" w:themeShade="BF"/>
                        </w:rPr>
                        <w:t>For more on contractual considerations, see section 4.2 of the Framework.</w:t>
                      </w:r>
                    </w:p>
                  </w:txbxContent>
                </v:textbox>
                <w10:anchorlock/>
              </v:shape>
            </w:pict>
          </mc:Fallback>
        </mc:AlternateContent>
      </w:r>
    </w:p>
    <w:p w14:paraId="370607D3" w14:textId="6910DBEE" w:rsidR="00302F4E" w:rsidRDefault="00302F4E" w:rsidP="00302F4E"/>
    <w:p w14:paraId="7D67068F" w14:textId="504686BB" w:rsidR="00302F4E" w:rsidRDefault="00302F4E" w:rsidP="00302F4E"/>
    <w:p w14:paraId="2D3BAB2E" w14:textId="77777777" w:rsidR="00F167B3" w:rsidRDefault="00D27D23" w:rsidP="00AC3082">
      <w:pPr>
        <w:pStyle w:val="Heading2"/>
      </w:pPr>
      <w:bookmarkStart w:id="36" w:name="_Toc138311613"/>
      <w:r>
        <w:t xml:space="preserve">SDLC Policy - </w:t>
      </w:r>
      <w:r w:rsidR="00F167B3" w:rsidRPr="009F2B91">
        <w:t>Cloud Specific Guidance</w:t>
      </w:r>
      <w:bookmarkEnd w:id="36"/>
      <w:r w:rsidR="00F167B3" w:rsidRPr="009F2B91">
        <w:t xml:space="preserve"> </w:t>
      </w:r>
    </w:p>
    <w:p w14:paraId="6522DE26" w14:textId="77777777" w:rsidR="00F167B3" w:rsidRPr="009F2B91" w:rsidRDefault="00F167B3" w:rsidP="00052F62">
      <w:pPr>
        <w:pStyle w:val="BodyText"/>
        <w:jc w:val="both"/>
        <w:rPr>
          <w:rFonts w:cstheme="minorHAnsi"/>
        </w:rPr>
      </w:pPr>
      <w:r>
        <w:rPr>
          <w:rFonts w:cstheme="minorHAnsi"/>
        </w:rPr>
        <w:t xml:space="preserve">Overall success in implementation of a cloud service is often dictated by the successful adoption and application of </w:t>
      </w:r>
      <w:r w:rsidR="00052F62">
        <w:rPr>
          <w:rFonts w:cstheme="minorHAnsi"/>
        </w:rPr>
        <w:t xml:space="preserve">a </w:t>
      </w:r>
      <w:r>
        <w:rPr>
          <w:rFonts w:cstheme="minorHAnsi"/>
        </w:rPr>
        <w:t>customer</w:t>
      </w:r>
      <w:r w:rsidR="00052F62">
        <w:rPr>
          <w:rFonts w:cstheme="minorHAnsi"/>
        </w:rPr>
        <w:t>’s</w:t>
      </w:r>
      <w:r>
        <w:rPr>
          <w:rFonts w:cstheme="minorHAnsi"/>
        </w:rPr>
        <w:t xml:space="preserve"> system-lifecycle (SDLC) policies and procedures to the cloud service/system.</w:t>
      </w:r>
    </w:p>
    <w:p w14:paraId="05B13ADD" w14:textId="77777777" w:rsidR="00052F62" w:rsidRDefault="00F167B3" w:rsidP="00052F62">
      <w:pPr>
        <w:autoSpaceDE w:val="0"/>
        <w:autoSpaceDN w:val="0"/>
        <w:adjustRightInd w:val="0"/>
        <w:spacing w:after="0" w:line="240" w:lineRule="auto"/>
        <w:ind w:left="720"/>
        <w:jc w:val="both"/>
        <w:rPr>
          <w:rFonts w:cstheme="minorHAnsi"/>
        </w:rPr>
      </w:pPr>
      <w:r w:rsidRPr="00554F70">
        <w:rPr>
          <w:rFonts w:cstheme="minorHAnsi"/>
          <w:u w:val="single"/>
        </w:rPr>
        <w:t>System Implementation/Validation</w:t>
      </w:r>
      <w:r w:rsidRPr="00554F70">
        <w:rPr>
          <w:rFonts w:cstheme="minorHAnsi"/>
        </w:rPr>
        <w:t xml:space="preserve"> – The </w:t>
      </w:r>
      <w:r w:rsidR="00052F62">
        <w:rPr>
          <w:rFonts w:cstheme="minorHAnsi"/>
        </w:rPr>
        <w:t>Cloud Service C</w:t>
      </w:r>
      <w:r w:rsidR="00123AD8" w:rsidRPr="00554F70">
        <w:rPr>
          <w:rFonts w:cstheme="minorHAnsi"/>
        </w:rPr>
        <w:t xml:space="preserve">ustomer’s </w:t>
      </w:r>
      <w:r w:rsidRPr="00554F70">
        <w:rPr>
          <w:rFonts w:cstheme="minorHAnsi"/>
        </w:rPr>
        <w:t xml:space="preserve">SDLC policy is the primary policy </w:t>
      </w:r>
      <w:r w:rsidR="00052F62">
        <w:rPr>
          <w:rFonts w:cstheme="minorHAnsi"/>
        </w:rPr>
        <w:t>that</w:t>
      </w:r>
      <w:r w:rsidRPr="00554F70">
        <w:rPr>
          <w:rFonts w:cstheme="minorHAnsi"/>
        </w:rPr>
        <w:t xml:space="preserve"> define</w:t>
      </w:r>
      <w:r w:rsidR="00052F62">
        <w:rPr>
          <w:rFonts w:cstheme="minorHAnsi"/>
        </w:rPr>
        <w:t>s</w:t>
      </w:r>
      <w:r w:rsidR="00453A6A" w:rsidRPr="00554F70">
        <w:rPr>
          <w:rFonts w:cstheme="minorHAnsi"/>
        </w:rPr>
        <w:t>,</w:t>
      </w:r>
      <w:r w:rsidRPr="00554F70">
        <w:rPr>
          <w:rFonts w:cstheme="minorHAnsi"/>
        </w:rPr>
        <w:t xml:space="preserve"> and set</w:t>
      </w:r>
      <w:r w:rsidR="00052F62">
        <w:rPr>
          <w:rFonts w:cstheme="minorHAnsi"/>
        </w:rPr>
        <w:t>s</w:t>
      </w:r>
      <w:r w:rsidRPr="00554F70">
        <w:rPr>
          <w:rFonts w:cstheme="minorHAnsi"/>
        </w:rPr>
        <w:t xml:space="preserve"> forth</w:t>
      </w:r>
      <w:r w:rsidR="00453A6A" w:rsidRPr="00554F70">
        <w:rPr>
          <w:rFonts w:cstheme="minorHAnsi"/>
        </w:rPr>
        <w:t>,</w:t>
      </w:r>
      <w:r w:rsidRPr="00554F70">
        <w:rPr>
          <w:rFonts w:cstheme="minorHAnsi"/>
        </w:rPr>
        <w:t xml:space="preserve"> the requirements and procedures to implement and maintain a computerized system</w:t>
      </w:r>
      <w:r w:rsidR="00453A6A" w:rsidRPr="00554F70">
        <w:rPr>
          <w:rFonts w:cstheme="minorHAnsi"/>
        </w:rPr>
        <w:t xml:space="preserve">.  This policy also ensures </w:t>
      </w:r>
      <w:r w:rsidRPr="00554F70">
        <w:rPr>
          <w:rFonts w:cstheme="minorHAnsi"/>
        </w:rPr>
        <w:t>compliance with applicable laws,</w:t>
      </w:r>
      <w:r w:rsidR="00052F62">
        <w:rPr>
          <w:rFonts w:cstheme="minorHAnsi"/>
        </w:rPr>
        <w:t xml:space="preserve"> regulations, and company policies</w:t>
      </w:r>
      <w:r w:rsidRPr="00554F70">
        <w:rPr>
          <w:rFonts w:cstheme="minorHAnsi"/>
        </w:rPr>
        <w:t xml:space="preserve"> such as </w:t>
      </w:r>
      <w:proofErr w:type="spellStart"/>
      <w:r w:rsidRPr="00554F70">
        <w:rPr>
          <w:rFonts w:cstheme="minorHAnsi"/>
        </w:rPr>
        <w:t>GxP</w:t>
      </w:r>
      <w:proofErr w:type="spellEnd"/>
      <w:r w:rsidRPr="00554F70">
        <w:rPr>
          <w:rFonts w:cstheme="minorHAnsi"/>
        </w:rPr>
        <w:t xml:space="preserve">.  </w:t>
      </w:r>
    </w:p>
    <w:p w14:paraId="7B2BE8B4" w14:textId="77777777" w:rsidR="00052F62" w:rsidRDefault="00052F62" w:rsidP="00795F35">
      <w:pPr>
        <w:autoSpaceDE w:val="0"/>
        <w:autoSpaceDN w:val="0"/>
        <w:adjustRightInd w:val="0"/>
        <w:spacing w:after="0" w:line="240" w:lineRule="auto"/>
        <w:ind w:left="720"/>
        <w:rPr>
          <w:rFonts w:cstheme="minorHAnsi"/>
        </w:rPr>
      </w:pPr>
    </w:p>
    <w:p w14:paraId="5E8B38FA" w14:textId="391DEF76" w:rsidR="00052F62" w:rsidRDefault="00F167B3" w:rsidP="00052F62">
      <w:pPr>
        <w:autoSpaceDE w:val="0"/>
        <w:autoSpaceDN w:val="0"/>
        <w:adjustRightInd w:val="0"/>
        <w:spacing w:after="0" w:line="240" w:lineRule="auto"/>
        <w:ind w:left="720"/>
        <w:jc w:val="both"/>
        <w:rPr>
          <w:rFonts w:cstheme="minorHAnsi"/>
        </w:rPr>
      </w:pPr>
      <w:r w:rsidRPr="00554F70">
        <w:rPr>
          <w:rFonts w:cstheme="minorHAnsi"/>
        </w:rPr>
        <w:t xml:space="preserve">Although it is beyond of the scope of this document to define an SDLC policy, the SDLC policy at a </w:t>
      </w:r>
      <w:r w:rsidR="00052F62">
        <w:rPr>
          <w:rFonts w:cstheme="minorHAnsi"/>
        </w:rPr>
        <w:t>Cloud Service C</w:t>
      </w:r>
      <w:r w:rsidR="00123AD8" w:rsidRPr="00554F70">
        <w:rPr>
          <w:rFonts w:cstheme="minorHAnsi"/>
        </w:rPr>
        <w:t xml:space="preserve">ustomer </w:t>
      </w:r>
      <w:r w:rsidRPr="00554F70">
        <w:rPr>
          <w:rFonts w:cstheme="minorHAnsi"/>
        </w:rPr>
        <w:t>defines an overall framework often made up of phases from project initiation and planning, thr</w:t>
      </w:r>
      <w:r w:rsidR="00821343">
        <w:rPr>
          <w:rFonts w:cstheme="minorHAnsi"/>
        </w:rPr>
        <w:t>o</w:t>
      </w:r>
      <w:r w:rsidRPr="00554F70">
        <w:rPr>
          <w:rFonts w:cstheme="minorHAnsi"/>
        </w:rPr>
        <w:t>u</w:t>
      </w:r>
      <w:r w:rsidR="00821343">
        <w:rPr>
          <w:rFonts w:cstheme="minorHAnsi"/>
        </w:rPr>
        <w:t>gh</w:t>
      </w:r>
      <w:r w:rsidRPr="00554F70">
        <w:rPr>
          <w:rFonts w:cstheme="minorHAnsi"/>
        </w:rPr>
        <w:t xml:space="preserve"> requirements, design, build, test, install, </w:t>
      </w:r>
      <w:proofErr w:type="gramStart"/>
      <w:r w:rsidRPr="00554F70">
        <w:rPr>
          <w:rFonts w:cstheme="minorHAnsi"/>
        </w:rPr>
        <w:t>operation</w:t>
      </w:r>
      <w:proofErr w:type="gramEnd"/>
      <w:r w:rsidRPr="00554F70">
        <w:rPr>
          <w:rFonts w:cstheme="minorHAnsi"/>
        </w:rPr>
        <w:t xml:space="preserve"> and retirement.  </w:t>
      </w:r>
    </w:p>
    <w:p w14:paraId="1E15A4C4" w14:textId="77777777" w:rsidR="00052F62" w:rsidRDefault="00052F62" w:rsidP="00795F35">
      <w:pPr>
        <w:autoSpaceDE w:val="0"/>
        <w:autoSpaceDN w:val="0"/>
        <w:adjustRightInd w:val="0"/>
        <w:spacing w:after="0" w:line="240" w:lineRule="auto"/>
        <w:ind w:left="720"/>
        <w:rPr>
          <w:rFonts w:cstheme="minorHAnsi"/>
        </w:rPr>
      </w:pPr>
    </w:p>
    <w:p w14:paraId="48D5B225" w14:textId="77777777" w:rsidR="006A0174" w:rsidRDefault="00F167B3" w:rsidP="00472015">
      <w:pPr>
        <w:autoSpaceDE w:val="0"/>
        <w:autoSpaceDN w:val="0"/>
        <w:adjustRightInd w:val="0"/>
        <w:spacing w:after="0" w:line="240" w:lineRule="auto"/>
        <w:ind w:left="720"/>
        <w:jc w:val="both"/>
        <w:rPr>
          <w:rFonts w:cstheme="minorHAnsi"/>
        </w:rPr>
      </w:pPr>
      <w:r w:rsidRPr="006426F0">
        <w:rPr>
          <w:rFonts w:cstheme="minorHAnsi"/>
        </w:rPr>
        <w:t>As defined in the FDA Glossary of terms</w:t>
      </w:r>
      <w:r w:rsidR="00052F62" w:rsidRPr="006426F0">
        <w:rPr>
          <w:rFonts w:cstheme="minorHAnsi"/>
        </w:rPr>
        <w:t>:</w:t>
      </w:r>
      <w:r w:rsidRPr="006426F0">
        <w:rPr>
          <w:rFonts w:cstheme="minorHAnsi"/>
        </w:rPr>
        <w:t xml:space="preserve">  System Life Cycle – ‘</w:t>
      </w:r>
      <w:r w:rsidRPr="006426F0">
        <w:rPr>
          <w:rFonts w:cstheme="minorHAnsi"/>
          <w:i/>
        </w:rPr>
        <w:t>The course of developmental changes through which a system passes from its conception to the termination of its use; e.g. the phases and activities associated with the analysis, acquisition, design, development, test, integration, operation, maintenance, and modification of a system.</w:t>
      </w:r>
      <w:r w:rsidRPr="006426F0">
        <w:rPr>
          <w:rFonts w:cstheme="minorHAnsi"/>
        </w:rPr>
        <w:t>’</w:t>
      </w:r>
      <w:r w:rsidR="00115964" w:rsidRPr="006426F0">
        <w:rPr>
          <w:rFonts w:cstheme="minorHAnsi"/>
        </w:rPr>
        <w:t xml:space="preserve"> ref</w:t>
      </w:r>
      <w:r w:rsidR="006426F0" w:rsidRPr="006426F0">
        <w:rPr>
          <w:rFonts w:cstheme="minorHAnsi"/>
        </w:rPr>
        <w:t xml:space="preserve"> </w:t>
      </w:r>
      <w:r w:rsidR="006426F0" w:rsidRPr="006426F0">
        <w:rPr>
          <w:rFonts w:cstheme="minorHAnsi"/>
        </w:rPr>
        <w:fldChar w:fldCharType="begin"/>
      </w:r>
      <w:r w:rsidR="006426F0" w:rsidRPr="006426F0">
        <w:rPr>
          <w:rFonts w:cstheme="minorHAnsi"/>
        </w:rPr>
        <w:instrText xml:space="preserve"> REF _Ref526683104 \r \h </w:instrText>
      </w:r>
      <w:r w:rsidR="006426F0">
        <w:rPr>
          <w:rFonts w:cstheme="minorHAnsi"/>
        </w:rPr>
        <w:instrText xml:space="preserve"> \* MERGEFORMAT </w:instrText>
      </w:r>
      <w:r w:rsidR="006426F0" w:rsidRPr="006426F0">
        <w:rPr>
          <w:rFonts w:cstheme="minorHAnsi"/>
        </w:rPr>
      </w:r>
      <w:r w:rsidR="006426F0" w:rsidRPr="006426F0">
        <w:rPr>
          <w:rFonts w:cstheme="minorHAnsi"/>
        </w:rPr>
        <w:fldChar w:fldCharType="separate"/>
      </w:r>
      <w:r w:rsidR="0080580B">
        <w:rPr>
          <w:rFonts w:cstheme="minorHAnsi"/>
        </w:rPr>
        <w:t>[5]</w:t>
      </w:r>
      <w:r w:rsidR="006426F0" w:rsidRPr="006426F0">
        <w:rPr>
          <w:rFonts w:cstheme="minorHAnsi"/>
        </w:rPr>
        <w:fldChar w:fldCharType="end"/>
      </w:r>
    </w:p>
    <w:p w14:paraId="39B15161" w14:textId="3819D058" w:rsidR="00472015" w:rsidRDefault="00472015" w:rsidP="006A0174">
      <w:pPr>
        <w:autoSpaceDE w:val="0"/>
        <w:autoSpaceDN w:val="0"/>
        <w:adjustRightInd w:val="0"/>
        <w:spacing w:after="0" w:line="240" w:lineRule="auto"/>
        <w:jc w:val="both"/>
        <w:rPr>
          <w:rFonts w:cstheme="minorHAnsi"/>
        </w:rPr>
      </w:pPr>
    </w:p>
    <w:p w14:paraId="1C28445C" w14:textId="6BE80B9A" w:rsidR="001874ED" w:rsidRDefault="001874ED" w:rsidP="007E1871">
      <w:pPr>
        <w:autoSpaceDE w:val="0"/>
        <w:autoSpaceDN w:val="0"/>
        <w:adjustRightInd w:val="0"/>
        <w:spacing w:after="0" w:line="240" w:lineRule="auto"/>
        <w:ind w:left="720"/>
        <w:jc w:val="both"/>
        <w:rPr>
          <w:rFonts w:cstheme="minorHAnsi"/>
        </w:rPr>
      </w:pPr>
      <w:r>
        <w:rPr>
          <w:rFonts w:cstheme="minorHAnsi"/>
        </w:rPr>
        <w:t>Some of the most crucial aspects of th</w:t>
      </w:r>
      <w:r w:rsidR="00052F62">
        <w:rPr>
          <w:rFonts w:cstheme="minorHAnsi"/>
        </w:rPr>
        <w:t>e</w:t>
      </w:r>
      <w:r>
        <w:rPr>
          <w:rFonts w:cstheme="minorHAnsi"/>
        </w:rPr>
        <w:t xml:space="preserve"> </w:t>
      </w:r>
      <w:r w:rsidR="00174FEA">
        <w:rPr>
          <w:rFonts w:cstheme="minorHAnsi"/>
        </w:rPr>
        <w:t>assessment</w:t>
      </w:r>
      <w:r>
        <w:rPr>
          <w:rFonts w:cstheme="minorHAnsi"/>
        </w:rPr>
        <w:t xml:space="preserve"> process </w:t>
      </w:r>
      <w:r w:rsidR="00123AD8">
        <w:rPr>
          <w:rFonts w:cstheme="minorHAnsi"/>
        </w:rPr>
        <w:t>are</w:t>
      </w:r>
      <w:r>
        <w:rPr>
          <w:rFonts w:cstheme="minorHAnsi"/>
        </w:rPr>
        <w:t xml:space="preserve"> defined in </w:t>
      </w:r>
      <w:r w:rsidR="00453A6A">
        <w:rPr>
          <w:rFonts w:cstheme="minorHAnsi"/>
        </w:rPr>
        <w:t xml:space="preserve">the </w:t>
      </w:r>
      <w:r>
        <w:rPr>
          <w:rFonts w:cstheme="minorHAnsi"/>
        </w:rPr>
        <w:t xml:space="preserve">early stages of the consumer’s </w:t>
      </w:r>
      <w:r w:rsidR="00453A6A">
        <w:rPr>
          <w:rFonts w:cstheme="minorHAnsi"/>
        </w:rPr>
        <w:t xml:space="preserve">overall </w:t>
      </w:r>
      <w:r>
        <w:rPr>
          <w:rFonts w:cstheme="minorHAnsi"/>
        </w:rPr>
        <w:t>SDLC policy</w:t>
      </w:r>
      <w:r w:rsidR="00453A6A">
        <w:rPr>
          <w:rFonts w:cstheme="minorHAnsi"/>
        </w:rPr>
        <w:t xml:space="preserve"> framework</w:t>
      </w:r>
      <w:r>
        <w:rPr>
          <w:rFonts w:cstheme="minorHAnsi"/>
        </w:rPr>
        <w:t>, often referred to as the ‘</w:t>
      </w:r>
      <w:r w:rsidRPr="00123AD8">
        <w:rPr>
          <w:rFonts w:cstheme="minorHAnsi"/>
          <w:i/>
        </w:rPr>
        <w:t>Planning Phase</w:t>
      </w:r>
      <w:r>
        <w:rPr>
          <w:rFonts w:cstheme="minorHAnsi"/>
        </w:rPr>
        <w:t>’ or equivalent.  During this key</w:t>
      </w:r>
      <w:r w:rsidR="00453A6A">
        <w:rPr>
          <w:rFonts w:cstheme="minorHAnsi"/>
        </w:rPr>
        <w:t xml:space="preserve"> SDLC phase, the following </w:t>
      </w:r>
      <w:r>
        <w:rPr>
          <w:rFonts w:cstheme="minorHAnsi"/>
        </w:rPr>
        <w:t xml:space="preserve">items are </w:t>
      </w:r>
      <w:r w:rsidR="00453A6A">
        <w:rPr>
          <w:rFonts w:cstheme="minorHAnsi"/>
        </w:rPr>
        <w:t>initiated</w:t>
      </w:r>
      <w:r>
        <w:rPr>
          <w:rFonts w:cstheme="minorHAnsi"/>
        </w:rPr>
        <w:t xml:space="preserve"> </w:t>
      </w:r>
      <w:proofErr w:type="gramStart"/>
      <w:r>
        <w:rPr>
          <w:rFonts w:cstheme="minorHAnsi"/>
        </w:rPr>
        <w:t>including;</w:t>
      </w:r>
      <w:proofErr w:type="gramEnd"/>
    </w:p>
    <w:p w14:paraId="4FD3407B" w14:textId="77777777" w:rsidR="001874ED" w:rsidRDefault="001874ED" w:rsidP="00F167B3">
      <w:pPr>
        <w:autoSpaceDE w:val="0"/>
        <w:autoSpaceDN w:val="0"/>
        <w:adjustRightInd w:val="0"/>
        <w:spacing w:after="0" w:line="240" w:lineRule="auto"/>
        <w:ind w:left="720"/>
        <w:rPr>
          <w:rFonts w:cstheme="minorHAnsi"/>
        </w:rPr>
      </w:pPr>
    </w:p>
    <w:p w14:paraId="765D9E53" w14:textId="77777777" w:rsidR="00E93E28" w:rsidRDefault="001874ED" w:rsidP="00670620">
      <w:pPr>
        <w:pStyle w:val="ListParagraph"/>
        <w:numPr>
          <w:ilvl w:val="0"/>
          <w:numId w:val="8"/>
        </w:numPr>
        <w:autoSpaceDE w:val="0"/>
        <w:autoSpaceDN w:val="0"/>
        <w:adjustRightInd w:val="0"/>
        <w:spacing w:after="0" w:line="240" w:lineRule="auto"/>
        <w:jc w:val="both"/>
        <w:rPr>
          <w:rFonts w:cstheme="minorHAnsi"/>
        </w:rPr>
      </w:pPr>
      <w:r>
        <w:rPr>
          <w:rFonts w:cstheme="minorHAnsi"/>
        </w:rPr>
        <w:t>Supplier Management and Assessment</w:t>
      </w:r>
    </w:p>
    <w:p w14:paraId="008FC8B9" w14:textId="77777777" w:rsidR="00E93E28" w:rsidRDefault="001874ED" w:rsidP="00670620">
      <w:pPr>
        <w:pStyle w:val="ListParagraph"/>
        <w:numPr>
          <w:ilvl w:val="0"/>
          <w:numId w:val="8"/>
        </w:numPr>
        <w:autoSpaceDE w:val="0"/>
        <w:autoSpaceDN w:val="0"/>
        <w:adjustRightInd w:val="0"/>
        <w:spacing w:after="0" w:line="240" w:lineRule="auto"/>
        <w:jc w:val="both"/>
        <w:rPr>
          <w:rFonts w:cstheme="minorHAnsi"/>
        </w:rPr>
      </w:pPr>
      <w:r>
        <w:rPr>
          <w:rFonts w:cstheme="minorHAnsi"/>
        </w:rPr>
        <w:t>Information Risk, Privacy and Data Assessment</w:t>
      </w:r>
    </w:p>
    <w:p w14:paraId="27140A58" w14:textId="77777777" w:rsidR="00E93E28" w:rsidRDefault="001874ED" w:rsidP="00670620">
      <w:pPr>
        <w:pStyle w:val="ListParagraph"/>
        <w:numPr>
          <w:ilvl w:val="0"/>
          <w:numId w:val="8"/>
        </w:numPr>
        <w:autoSpaceDE w:val="0"/>
        <w:autoSpaceDN w:val="0"/>
        <w:adjustRightInd w:val="0"/>
        <w:spacing w:after="0" w:line="240" w:lineRule="auto"/>
        <w:jc w:val="both"/>
        <w:rPr>
          <w:rFonts w:cstheme="minorHAnsi"/>
        </w:rPr>
      </w:pPr>
      <w:r>
        <w:rPr>
          <w:rFonts w:cstheme="minorHAnsi"/>
        </w:rPr>
        <w:t>IT Security Evaluation</w:t>
      </w:r>
      <w:r w:rsidR="00052F62">
        <w:rPr>
          <w:rFonts w:cstheme="minorHAnsi"/>
        </w:rPr>
        <w:t>.</w:t>
      </w:r>
    </w:p>
    <w:p w14:paraId="46DDA118" w14:textId="77777777" w:rsidR="00E93E28" w:rsidRDefault="00E93E28">
      <w:pPr>
        <w:pStyle w:val="ListParagraph"/>
        <w:autoSpaceDE w:val="0"/>
        <w:autoSpaceDN w:val="0"/>
        <w:adjustRightInd w:val="0"/>
        <w:spacing w:after="0" w:line="240" w:lineRule="auto"/>
        <w:ind w:left="2160"/>
        <w:rPr>
          <w:rFonts w:cstheme="minorHAnsi"/>
        </w:rPr>
      </w:pPr>
    </w:p>
    <w:p w14:paraId="3F79F3DE" w14:textId="77777777" w:rsidR="001874ED" w:rsidRDefault="00453A6A" w:rsidP="00052F62">
      <w:pPr>
        <w:autoSpaceDE w:val="0"/>
        <w:autoSpaceDN w:val="0"/>
        <w:adjustRightInd w:val="0"/>
        <w:spacing w:after="0" w:line="240" w:lineRule="auto"/>
        <w:ind w:left="720"/>
        <w:jc w:val="both"/>
        <w:rPr>
          <w:rFonts w:cstheme="minorHAnsi"/>
        </w:rPr>
      </w:pPr>
      <w:r>
        <w:rPr>
          <w:rFonts w:cstheme="minorHAnsi"/>
        </w:rPr>
        <w:t>D</w:t>
      </w:r>
      <w:r w:rsidR="001874ED">
        <w:rPr>
          <w:rFonts w:cstheme="minorHAnsi"/>
        </w:rPr>
        <w:t xml:space="preserve">ue to the importance of these topics, they are explored in greater detail </w:t>
      </w:r>
      <w:r w:rsidR="00E44827">
        <w:rPr>
          <w:rFonts w:cstheme="minorHAnsi"/>
        </w:rPr>
        <w:t>in the following three sections of this chapter.</w:t>
      </w:r>
    </w:p>
    <w:p w14:paraId="448D5B39" w14:textId="77777777" w:rsidR="00F167B3" w:rsidRDefault="00F167B3" w:rsidP="00F167B3">
      <w:pPr>
        <w:autoSpaceDE w:val="0"/>
        <w:autoSpaceDN w:val="0"/>
        <w:adjustRightInd w:val="0"/>
        <w:spacing w:after="0" w:line="240" w:lineRule="auto"/>
        <w:ind w:left="720"/>
        <w:rPr>
          <w:rFonts w:cstheme="minorHAnsi"/>
        </w:rPr>
      </w:pPr>
    </w:p>
    <w:p w14:paraId="325ADA00" w14:textId="41FD7E37" w:rsidR="00C64F21" w:rsidRDefault="00F167B3" w:rsidP="00052F62">
      <w:pPr>
        <w:pStyle w:val="BodyText"/>
        <w:ind w:left="720"/>
        <w:jc w:val="both"/>
        <w:rPr>
          <w:rFonts w:cstheme="minorHAnsi"/>
        </w:rPr>
      </w:pPr>
      <w:r w:rsidRPr="00554F70">
        <w:rPr>
          <w:rFonts w:cstheme="minorHAnsi"/>
        </w:rPr>
        <w:t>A</w:t>
      </w:r>
      <w:r w:rsidR="00453A6A" w:rsidRPr="00554F70">
        <w:rPr>
          <w:rFonts w:cstheme="minorHAnsi"/>
        </w:rPr>
        <w:t>nother</w:t>
      </w:r>
      <w:r w:rsidRPr="00554F70">
        <w:rPr>
          <w:rFonts w:cstheme="minorHAnsi"/>
        </w:rPr>
        <w:t xml:space="preserve"> challenge</w:t>
      </w:r>
      <w:r w:rsidR="00453A6A" w:rsidRPr="00554F70">
        <w:rPr>
          <w:rFonts w:cstheme="minorHAnsi"/>
        </w:rPr>
        <w:t xml:space="preserve"> in the planning phase </w:t>
      </w:r>
      <w:r w:rsidR="00D56703" w:rsidRPr="00554F70">
        <w:rPr>
          <w:rFonts w:cstheme="minorHAnsi"/>
        </w:rPr>
        <w:t>of a</w:t>
      </w:r>
      <w:r w:rsidRPr="00554F70">
        <w:rPr>
          <w:rFonts w:cstheme="minorHAnsi"/>
        </w:rPr>
        <w:t xml:space="preserve"> </w:t>
      </w:r>
      <w:proofErr w:type="spellStart"/>
      <w:r w:rsidRPr="00554F70">
        <w:rPr>
          <w:rFonts w:cstheme="minorHAnsi"/>
        </w:rPr>
        <w:t>GxP</w:t>
      </w:r>
      <w:proofErr w:type="spellEnd"/>
      <w:r w:rsidRPr="00554F70">
        <w:rPr>
          <w:rFonts w:cstheme="minorHAnsi"/>
        </w:rPr>
        <w:t xml:space="preserve"> cloud-based solution is </w:t>
      </w:r>
      <w:proofErr w:type="gramStart"/>
      <w:r w:rsidRPr="00554F70">
        <w:rPr>
          <w:rFonts w:cstheme="minorHAnsi"/>
        </w:rPr>
        <w:t>that,</w:t>
      </w:r>
      <w:proofErr w:type="gramEnd"/>
      <w:r w:rsidRPr="00554F70">
        <w:rPr>
          <w:rFonts w:cstheme="minorHAnsi"/>
        </w:rPr>
        <w:t xml:space="preserve"> many times a good portion of the information, or other SDLC artifacts, may reside with the provider</w:t>
      </w:r>
      <w:r w:rsidR="00052F62">
        <w:rPr>
          <w:rFonts w:cstheme="minorHAnsi"/>
        </w:rPr>
        <w:t>s</w:t>
      </w:r>
      <w:r w:rsidRPr="00554F70">
        <w:rPr>
          <w:rFonts w:cstheme="minorHAnsi"/>
        </w:rPr>
        <w:t xml:space="preserve"> or manager</w:t>
      </w:r>
      <w:r w:rsidR="00052F62">
        <w:rPr>
          <w:rFonts w:cstheme="minorHAnsi"/>
        </w:rPr>
        <w:t>s</w:t>
      </w:r>
      <w:r w:rsidRPr="00554F70">
        <w:rPr>
          <w:rFonts w:cstheme="minorHAnsi"/>
        </w:rPr>
        <w:t xml:space="preserve">, yet the overall </w:t>
      </w:r>
      <w:r w:rsidR="00052F62">
        <w:rPr>
          <w:rFonts w:cstheme="minorHAnsi"/>
        </w:rPr>
        <w:t>accountability</w:t>
      </w:r>
      <w:r w:rsidRPr="00554F70">
        <w:rPr>
          <w:rFonts w:cstheme="minorHAnsi"/>
        </w:rPr>
        <w:t xml:space="preserve"> for the </w:t>
      </w:r>
      <w:proofErr w:type="spellStart"/>
      <w:r w:rsidRPr="00554F70">
        <w:rPr>
          <w:rFonts w:cstheme="minorHAnsi"/>
        </w:rPr>
        <w:t>GxP</w:t>
      </w:r>
      <w:proofErr w:type="spellEnd"/>
      <w:r w:rsidRPr="00554F70">
        <w:rPr>
          <w:rFonts w:cstheme="minorHAnsi"/>
        </w:rPr>
        <w:t xml:space="preserve"> system lies with the </w:t>
      </w:r>
      <w:r w:rsidR="00052F62">
        <w:rPr>
          <w:rFonts w:cstheme="minorHAnsi"/>
        </w:rPr>
        <w:t>Cloud Service C</w:t>
      </w:r>
      <w:r w:rsidR="00123AD8" w:rsidRPr="00554F70">
        <w:rPr>
          <w:rFonts w:cstheme="minorHAnsi"/>
        </w:rPr>
        <w:t>ustomer</w:t>
      </w:r>
      <w:r w:rsidRPr="00554F70">
        <w:rPr>
          <w:rFonts w:cstheme="minorHAnsi"/>
        </w:rPr>
        <w:t xml:space="preserve">.  </w:t>
      </w:r>
      <w:r w:rsidR="00E5341A" w:rsidRPr="00554F70">
        <w:rPr>
          <w:rFonts w:cstheme="minorHAnsi"/>
        </w:rPr>
        <w:t>Therefore,</w:t>
      </w:r>
      <w:r w:rsidRPr="00554F70">
        <w:rPr>
          <w:rFonts w:cstheme="minorHAnsi"/>
        </w:rPr>
        <w:t xml:space="preserve"> </w:t>
      </w:r>
      <w:r w:rsidR="002543FE">
        <w:rPr>
          <w:rFonts w:cstheme="minorHAnsi"/>
        </w:rPr>
        <w:t>Cloud Service Customers</w:t>
      </w:r>
      <w:r w:rsidR="00123AD8" w:rsidRPr="00554F70">
        <w:rPr>
          <w:rFonts w:cstheme="minorHAnsi"/>
        </w:rPr>
        <w:t xml:space="preserve"> </w:t>
      </w:r>
      <w:r w:rsidRPr="00554F70">
        <w:rPr>
          <w:rFonts w:cstheme="minorHAnsi"/>
        </w:rPr>
        <w:t xml:space="preserve">will need </w:t>
      </w:r>
      <w:r w:rsidR="00174FEA">
        <w:rPr>
          <w:rFonts w:cstheme="minorHAnsi"/>
        </w:rPr>
        <w:t xml:space="preserve">to </w:t>
      </w:r>
      <w:r w:rsidRPr="00554F70">
        <w:rPr>
          <w:rFonts w:cstheme="minorHAnsi"/>
        </w:rPr>
        <w:t xml:space="preserve">work closely with the </w:t>
      </w:r>
      <w:r w:rsidR="002543FE">
        <w:rPr>
          <w:rFonts w:cstheme="minorHAnsi"/>
        </w:rPr>
        <w:t>Cloud Service Providers</w:t>
      </w:r>
      <w:r w:rsidRPr="00554F70">
        <w:rPr>
          <w:rFonts w:cstheme="minorHAnsi"/>
        </w:rPr>
        <w:t>/</w:t>
      </w:r>
      <w:r w:rsidR="002543FE">
        <w:rPr>
          <w:rFonts w:cstheme="minorHAnsi"/>
        </w:rPr>
        <w:t>Cloud Service Brokers</w:t>
      </w:r>
      <w:r w:rsidRPr="00554F70">
        <w:rPr>
          <w:rFonts w:cstheme="minorHAnsi"/>
        </w:rPr>
        <w:t xml:space="preserve"> to </w:t>
      </w:r>
      <w:r w:rsidR="00052F62">
        <w:rPr>
          <w:rFonts w:cstheme="minorHAnsi"/>
        </w:rPr>
        <w:t>establish</w:t>
      </w:r>
      <w:r w:rsidRPr="00554F70">
        <w:rPr>
          <w:rFonts w:cstheme="minorHAnsi"/>
        </w:rPr>
        <w:t xml:space="preserve"> a process in which this information can be referenced</w:t>
      </w:r>
      <w:r w:rsidR="00A165CC" w:rsidRPr="00554F70">
        <w:rPr>
          <w:rFonts w:cstheme="minorHAnsi"/>
        </w:rPr>
        <w:t>, leveraged</w:t>
      </w:r>
      <w:r w:rsidRPr="00554F70">
        <w:rPr>
          <w:rFonts w:cstheme="minorHAnsi"/>
        </w:rPr>
        <w:t xml:space="preserve"> and</w:t>
      </w:r>
      <w:r w:rsidR="00A165CC" w:rsidRPr="00554F70">
        <w:rPr>
          <w:rFonts w:cstheme="minorHAnsi"/>
        </w:rPr>
        <w:t xml:space="preserve">/or </w:t>
      </w:r>
      <w:r w:rsidRPr="00554F70">
        <w:rPr>
          <w:rFonts w:cstheme="minorHAnsi"/>
        </w:rPr>
        <w:t>managed</w:t>
      </w:r>
      <w:r w:rsidR="009A2EE4" w:rsidRPr="00554F70">
        <w:rPr>
          <w:rFonts w:cstheme="minorHAnsi"/>
        </w:rPr>
        <w:t xml:space="preserve"> </w:t>
      </w:r>
      <w:r w:rsidR="00052F62">
        <w:rPr>
          <w:rFonts w:cstheme="minorHAnsi"/>
        </w:rPr>
        <w:t xml:space="preserve">from </w:t>
      </w:r>
      <w:r w:rsidR="009A2EE4" w:rsidRPr="00554F70">
        <w:rPr>
          <w:rFonts w:cstheme="minorHAnsi"/>
        </w:rPr>
        <w:t xml:space="preserve">within their SDLC policy.   </w:t>
      </w:r>
    </w:p>
    <w:p w14:paraId="7DC6DC9E" w14:textId="77777777" w:rsidR="005F386A" w:rsidRDefault="005F386A" w:rsidP="00052F62">
      <w:pPr>
        <w:pStyle w:val="BodyText"/>
        <w:ind w:left="720"/>
        <w:jc w:val="both"/>
        <w:rPr>
          <w:rFonts w:cstheme="minorHAnsi"/>
        </w:rPr>
      </w:pPr>
    </w:p>
    <w:p w14:paraId="5CC517EB" w14:textId="77777777" w:rsidR="005F386A" w:rsidRDefault="005F386A" w:rsidP="00052F62">
      <w:pPr>
        <w:pStyle w:val="BodyText"/>
        <w:ind w:left="720"/>
        <w:jc w:val="both"/>
        <w:rPr>
          <w:rFonts w:cstheme="minorHAnsi"/>
        </w:rPr>
      </w:pPr>
    </w:p>
    <w:p w14:paraId="4D087648" w14:textId="77777777" w:rsidR="005F386A" w:rsidRDefault="005F386A" w:rsidP="00052F62">
      <w:pPr>
        <w:pStyle w:val="BodyText"/>
        <w:ind w:left="720"/>
        <w:jc w:val="both"/>
        <w:rPr>
          <w:rFonts w:cstheme="minorHAnsi"/>
        </w:rPr>
      </w:pPr>
    </w:p>
    <w:p w14:paraId="2D2DF1F4" w14:textId="77777777" w:rsidR="005F386A" w:rsidRDefault="005F386A" w:rsidP="00052F62">
      <w:pPr>
        <w:pStyle w:val="BodyText"/>
        <w:ind w:left="720"/>
        <w:jc w:val="both"/>
        <w:rPr>
          <w:rFonts w:cstheme="minorHAnsi"/>
        </w:rPr>
      </w:pPr>
    </w:p>
    <w:p w14:paraId="2117ACA9" w14:textId="77777777" w:rsidR="005F386A" w:rsidRDefault="005F386A" w:rsidP="00052F62">
      <w:pPr>
        <w:pStyle w:val="BodyText"/>
        <w:ind w:left="720"/>
        <w:jc w:val="both"/>
        <w:rPr>
          <w:rFonts w:cstheme="minorHAnsi"/>
        </w:rPr>
      </w:pPr>
    </w:p>
    <w:p w14:paraId="6269F343" w14:textId="74719569" w:rsidR="00F167B3" w:rsidRDefault="001874ED" w:rsidP="00052F62">
      <w:pPr>
        <w:pStyle w:val="BodyText"/>
        <w:ind w:left="720"/>
        <w:jc w:val="both"/>
        <w:rPr>
          <w:rFonts w:cstheme="minorHAnsi"/>
        </w:rPr>
      </w:pPr>
      <w:r w:rsidRPr="00554F70">
        <w:rPr>
          <w:rFonts w:cstheme="minorHAnsi"/>
        </w:rPr>
        <w:t>In addit</w:t>
      </w:r>
      <w:r w:rsidR="00755374" w:rsidRPr="00554F70">
        <w:rPr>
          <w:rFonts w:cstheme="minorHAnsi"/>
        </w:rPr>
        <w:t>i</w:t>
      </w:r>
      <w:r w:rsidRPr="00554F70">
        <w:rPr>
          <w:rFonts w:cstheme="minorHAnsi"/>
        </w:rPr>
        <w:t>on</w:t>
      </w:r>
      <w:r w:rsidR="00F167B3" w:rsidRPr="00554F70">
        <w:rPr>
          <w:rFonts w:cstheme="minorHAnsi"/>
        </w:rPr>
        <w:t>,</w:t>
      </w:r>
      <w:r w:rsidR="009A2EE4" w:rsidRPr="00554F70">
        <w:rPr>
          <w:rFonts w:cstheme="minorHAnsi"/>
        </w:rPr>
        <w:t xml:space="preserve"> </w:t>
      </w:r>
      <w:r w:rsidRPr="00554F70">
        <w:rPr>
          <w:rFonts w:cstheme="minorHAnsi"/>
        </w:rPr>
        <w:t>provisions will need to be made to ensure that</w:t>
      </w:r>
      <w:r w:rsidR="00453A6A" w:rsidRPr="00554F70">
        <w:rPr>
          <w:rFonts w:cstheme="minorHAnsi"/>
        </w:rPr>
        <w:t xml:space="preserve"> </w:t>
      </w:r>
      <w:r w:rsidR="009A2EE4" w:rsidRPr="00554F70">
        <w:rPr>
          <w:rFonts w:cstheme="minorHAnsi"/>
        </w:rPr>
        <w:t xml:space="preserve">these SDLC artifacts </w:t>
      </w:r>
      <w:r w:rsidRPr="00554F70">
        <w:rPr>
          <w:rFonts w:cstheme="minorHAnsi"/>
        </w:rPr>
        <w:t>can be</w:t>
      </w:r>
      <w:r w:rsidR="00F167B3" w:rsidRPr="00554F70">
        <w:rPr>
          <w:rFonts w:cstheme="minorHAnsi"/>
        </w:rPr>
        <w:t xml:space="preserve"> provided upon request</w:t>
      </w:r>
      <w:r w:rsidRPr="00554F70">
        <w:rPr>
          <w:rFonts w:cstheme="minorHAnsi"/>
        </w:rPr>
        <w:t xml:space="preserve"> from the </w:t>
      </w:r>
      <w:r w:rsidR="002543FE">
        <w:rPr>
          <w:rFonts w:cstheme="minorHAnsi"/>
        </w:rPr>
        <w:t>Cloud Service Providers</w:t>
      </w:r>
      <w:r w:rsidR="00123AD8" w:rsidRPr="00554F70">
        <w:rPr>
          <w:rFonts w:cstheme="minorHAnsi"/>
        </w:rPr>
        <w:t>/</w:t>
      </w:r>
      <w:r w:rsidR="002543FE">
        <w:rPr>
          <w:rFonts w:cstheme="minorHAnsi"/>
        </w:rPr>
        <w:t>Cloud Service Brokers</w:t>
      </w:r>
      <w:r w:rsidR="00453A6A" w:rsidRPr="00554F70">
        <w:rPr>
          <w:rFonts w:cstheme="minorHAnsi"/>
        </w:rPr>
        <w:t>,</w:t>
      </w:r>
      <w:r w:rsidR="00F167B3" w:rsidRPr="00554F70">
        <w:rPr>
          <w:rFonts w:cstheme="minorHAnsi"/>
        </w:rPr>
        <w:t xml:space="preserve"> during</w:t>
      </w:r>
      <w:r w:rsidR="00052F62">
        <w:rPr>
          <w:rFonts w:cstheme="minorHAnsi"/>
        </w:rPr>
        <w:t>, for example,</w:t>
      </w:r>
      <w:r w:rsidR="00F167B3" w:rsidRPr="00554F70">
        <w:rPr>
          <w:rFonts w:cstheme="minorHAnsi"/>
        </w:rPr>
        <w:t xml:space="preserve"> a regulatory inspection</w:t>
      </w:r>
      <w:r w:rsidR="00052F62">
        <w:rPr>
          <w:rFonts w:cstheme="minorHAnsi"/>
        </w:rPr>
        <w:t xml:space="preserve"> of the Cloud Service Customer</w:t>
      </w:r>
      <w:r w:rsidR="00F167B3" w:rsidRPr="00554F70">
        <w:rPr>
          <w:rFonts w:cstheme="minorHAnsi"/>
        </w:rPr>
        <w:t xml:space="preserve">.  This may be true of project artifacts in the overall implementation of the system, or key operational system control process </w:t>
      </w:r>
      <w:r w:rsidR="00052F62">
        <w:rPr>
          <w:rFonts w:cstheme="minorHAnsi"/>
        </w:rPr>
        <w:t>in the following areas:</w:t>
      </w:r>
    </w:p>
    <w:p w14:paraId="15A63333" w14:textId="77777777" w:rsidR="00F167B3" w:rsidRDefault="00F167B3" w:rsidP="00670620">
      <w:pPr>
        <w:pStyle w:val="ListParagraph"/>
        <w:numPr>
          <w:ilvl w:val="0"/>
          <w:numId w:val="7"/>
        </w:numPr>
        <w:ind w:left="1800"/>
      </w:pPr>
      <w:r>
        <w:t>Configuration management</w:t>
      </w:r>
    </w:p>
    <w:p w14:paraId="2406E78C" w14:textId="67DF53FF" w:rsidR="00F167B3" w:rsidRDefault="00F167B3" w:rsidP="00670620">
      <w:pPr>
        <w:pStyle w:val="ListParagraph"/>
        <w:numPr>
          <w:ilvl w:val="0"/>
          <w:numId w:val="7"/>
        </w:numPr>
        <w:ind w:left="1800"/>
      </w:pPr>
      <w:r>
        <w:t xml:space="preserve">Change </w:t>
      </w:r>
      <w:r w:rsidR="005800F6">
        <w:t>management.</w:t>
      </w:r>
    </w:p>
    <w:p w14:paraId="37EDAC4B" w14:textId="77777777" w:rsidR="00F167B3" w:rsidRDefault="00F167B3" w:rsidP="00670620">
      <w:pPr>
        <w:pStyle w:val="ListParagraph"/>
        <w:numPr>
          <w:ilvl w:val="0"/>
          <w:numId w:val="7"/>
        </w:numPr>
        <w:ind w:left="1800"/>
      </w:pPr>
      <w:r>
        <w:t>Problem Management</w:t>
      </w:r>
    </w:p>
    <w:p w14:paraId="33F78932" w14:textId="77777777" w:rsidR="00F167B3" w:rsidRDefault="00F167B3" w:rsidP="00670620">
      <w:pPr>
        <w:pStyle w:val="ListParagraph"/>
        <w:numPr>
          <w:ilvl w:val="0"/>
          <w:numId w:val="7"/>
        </w:numPr>
        <w:ind w:left="1800"/>
      </w:pPr>
      <w:r>
        <w:t>Incident management</w:t>
      </w:r>
    </w:p>
    <w:p w14:paraId="3A5715BC" w14:textId="77777777" w:rsidR="00F167B3" w:rsidRDefault="00F167B3" w:rsidP="00670620">
      <w:pPr>
        <w:pStyle w:val="ListParagraph"/>
        <w:numPr>
          <w:ilvl w:val="0"/>
          <w:numId w:val="7"/>
        </w:numPr>
        <w:ind w:left="1800"/>
      </w:pPr>
      <w:r>
        <w:t xml:space="preserve">Identity and Access management </w:t>
      </w:r>
    </w:p>
    <w:p w14:paraId="39E9AD95" w14:textId="2C799A5B" w:rsidR="00F167B3" w:rsidRDefault="00F167B3" w:rsidP="00670620">
      <w:pPr>
        <w:pStyle w:val="ListParagraph"/>
        <w:numPr>
          <w:ilvl w:val="0"/>
          <w:numId w:val="7"/>
        </w:numPr>
        <w:ind w:left="1800"/>
      </w:pPr>
      <w:r>
        <w:t xml:space="preserve">Back-up and </w:t>
      </w:r>
      <w:r w:rsidR="005800F6">
        <w:t>restore.</w:t>
      </w:r>
    </w:p>
    <w:p w14:paraId="54B4F044" w14:textId="77777777" w:rsidR="00F167B3" w:rsidRDefault="00F167B3" w:rsidP="00670620">
      <w:pPr>
        <w:pStyle w:val="ListParagraph"/>
        <w:numPr>
          <w:ilvl w:val="0"/>
          <w:numId w:val="7"/>
        </w:numPr>
        <w:ind w:left="1800"/>
      </w:pPr>
      <w:r>
        <w:t xml:space="preserve">Business </w:t>
      </w:r>
      <w:r w:rsidR="005463E1">
        <w:t xml:space="preserve">Continuity </w:t>
      </w:r>
      <w:r>
        <w:t>and Disaster Recovery</w:t>
      </w:r>
      <w:r w:rsidR="00052F62">
        <w:t>.</w:t>
      </w:r>
    </w:p>
    <w:p w14:paraId="3C7230F4" w14:textId="77777777" w:rsidR="00174FEA" w:rsidRDefault="00174FEA" w:rsidP="00174FEA">
      <w:pPr>
        <w:pStyle w:val="BodyText"/>
        <w:ind w:left="720"/>
        <w:jc w:val="both"/>
      </w:pPr>
      <w:r>
        <w:t xml:space="preserve">It is essential that the Cloud Service Customer’s SDLC Policy accurately and meaningfully </w:t>
      </w:r>
      <w:r w:rsidR="002026D2">
        <w:t>reflect</w:t>
      </w:r>
      <w:r>
        <w:t xml:space="preserve"> the roles and responsibilities of the various Cloud Service Broker and Cloud Service Providers that are applicable.</w:t>
      </w:r>
    </w:p>
    <w:p w14:paraId="03CCC8BA" w14:textId="41118AE8" w:rsidR="00472015" w:rsidRDefault="00F167B3" w:rsidP="00052F62">
      <w:pPr>
        <w:autoSpaceDE w:val="0"/>
        <w:autoSpaceDN w:val="0"/>
        <w:adjustRightInd w:val="0"/>
        <w:spacing w:after="0" w:line="240" w:lineRule="auto"/>
        <w:ind w:left="720"/>
        <w:jc w:val="both"/>
        <w:rPr>
          <w:rFonts w:cstheme="minorHAnsi"/>
        </w:rPr>
      </w:pPr>
      <w:r w:rsidRPr="00554F70">
        <w:rPr>
          <w:rFonts w:cstheme="minorHAnsi"/>
        </w:rPr>
        <w:t xml:space="preserve">Cloud-based implementations should be viewed </w:t>
      </w:r>
      <w:r w:rsidR="00052F62">
        <w:rPr>
          <w:rFonts w:cstheme="minorHAnsi"/>
        </w:rPr>
        <w:t>like</w:t>
      </w:r>
      <w:r w:rsidRPr="00554F70">
        <w:rPr>
          <w:rFonts w:cstheme="minorHAnsi"/>
        </w:rPr>
        <w:t xml:space="preserve"> any other system implementation.  The overall SDLC is the key policy to the success of implementation </w:t>
      </w:r>
      <w:r w:rsidR="00052F62">
        <w:rPr>
          <w:rFonts w:cstheme="minorHAnsi"/>
        </w:rPr>
        <w:t xml:space="preserve">and operation </w:t>
      </w:r>
      <w:r w:rsidRPr="00554F70">
        <w:rPr>
          <w:rFonts w:cstheme="minorHAnsi"/>
        </w:rPr>
        <w:t>of a cloud-based solution.  However, application of the SDLC to the specific nature of cloud is also a key to success.  The tailoring of the SDLC approach to cloud is highly dependent on the topics that follow, and their application to cloud.  It is often in the early stages of the SDLC (</w:t>
      </w:r>
      <w:proofErr w:type="gramStart"/>
      <w:r w:rsidRPr="00554F70">
        <w:rPr>
          <w:rFonts w:cstheme="minorHAnsi"/>
        </w:rPr>
        <w:t>i.e.</w:t>
      </w:r>
      <w:proofErr w:type="gramEnd"/>
      <w:r w:rsidRPr="00554F70">
        <w:rPr>
          <w:rFonts w:cstheme="minorHAnsi"/>
        </w:rPr>
        <w:t xml:space="preserve"> Planning phases) in which these activities are initiated and addressed </w:t>
      </w:r>
      <w:r w:rsidR="00174FEA">
        <w:rPr>
          <w:rFonts w:cstheme="minorHAnsi"/>
        </w:rPr>
        <w:t xml:space="preserve">by the Cloud Service Customer </w:t>
      </w:r>
      <w:r w:rsidRPr="00554F70">
        <w:rPr>
          <w:rFonts w:cstheme="minorHAnsi"/>
        </w:rPr>
        <w:t xml:space="preserve">with the </w:t>
      </w:r>
      <w:r w:rsidR="002543FE">
        <w:rPr>
          <w:rFonts w:cstheme="minorHAnsi"/>
        </w:rPr>
        <w:t>Cloud Service Providers</w:t>
      </w:r>
      <w:r w:rsidRPr="00554F70">
        <w:rPr>
          <w:rFonts w:cstheme="minorHAnsi"/>
        </w:rPr>
        <w:t>.</w:t>
      </w:r>
    </w:p>
    <w:p w14:paraId="180B5712" w14:textId="77777777" w:rsidR="006A0174" w:rsidRDefault="006A0174" w:rsidP="00052F62">
      <w:pPr>
        <w:autoSpaceDE w:val="0"/>
        <w:autoSpaceDN w:val="0"/>
        <w:adjustRightInd w:val="0"/>
        <w:spacing w:after="0" w:line="240" w:lineRule="auto"/>
        <w:ind w:left="720"/>
        <w:jc w:val="both"/>
        <w:rPr>
          <w:rFonts w:cstheme="minorHAnsi"/>
        </w:rPr>
      </w:pPr>
    </w:p>
    <w:p w14:paraId="1872C7AB" w14:textId="612850EB" w:rsidR="00052F62" w:rsidRDefault="00F167B3" w:rsidP="006A0174">
      <w:pPr>
        <w:ind w:left="720"/>
        <w:rPr>
          <w:rFonts w:cstheme="minorHAnsi"/>
        </w:rPr>
      </w:pPr>
      <w:r>
        <w:rPr>
          <w:rFonts w:cstheme="minorHAnsi"/>
          <w:u w:val="single"/>
        </w:rPr>
        <w:t xml:space="preserve">SDLC </w:t>
      </w:r>
      <w:r w:rsidRPr="0036181F">
        <w:rPr>
          <w:rFonts w:cstheme="minorHAnsi"/>
          <w:u w:val="single"/>
        </w:rPr>
        <w:t>Cloud Guidance and Governance</w:t>
      </w:r>
      <w:r w:rsidR="00052F62" w:rsidRPr="00052F62">
        <w:rPr>
          <w:rFonts w:cstheme="minorHAnsi"/>
        </w:rPr>
        <w:t xml:space="preserve"> </w:t>
      </w:r>
      <w:r>
        <w:rPr>
          <w:rFonts w:cstheme="minorHAnsi"/>
        </w:rPr>
        <w:t>- It is the intent of this document to provide high level, and non-prescriptive guidance, to help in the adoption of cloud.  W</w:t>
      </w:r>
      <w:r w:rsidR="00154D8C">
        <w:rPr>
          <w:rFonts w:cstheme="minorHAnsi"/>
        </w:rPr>
        <w:t xml:space="preserve">e recommend that Cloud Service Customers develop their own specific policies and approach to cloud adoption. </w:t>
      </w:r>
      <w:r>
        <w:rPr>
          <w:rFonts w:cstheme="minorHAnsi"/>
        </w:rPr>
        <w:t xml:space="preserve">Specifically, how to apply the customer’s SDLC policy to cloud </w:t>
      </w:r>
      <w:proofErr w:type="gramStart"/>
      <w:r>
        <w:rPr>
          <w:rFonts w:cstheme="minorHAnsi"/>
        </w:rPr>
        <w:t>in order to</w:t>
      </w:r>
      <w:proofErr w:type="gramEnd"/>
      <w:r>
        <w:rPr>
          <w:rFonts w:cstheme="minorHAnsi"/>
        </w:rPr>
        <w:t xml:space="preserve"> ensure a holistic </w:t>
      </w:r>
      <w:proofErr w:type="spellStart"/>
      <w:r>
        <w:rPr>
          <w:rFonts w:cstheme="minorHAnsi"/>
        </w:rPr>
        <w:t>GxP</w:t>
      </w:r>
      <w:proofErr w:type="spellEnd"/>
      <w:r>
        <w:rPr>
          <w:rFonts w:cstheme="minorHAnsi"/>
        </w:rPr>
        <w:t>-compliant solution is one of the factors that will assist in appropriately and consistently applying this methodology for regulatory purposes.   Such guidance will help in the t</w:t>
      </w:r>
      <w:r w:rsidRPr="0064605C">
        <w:rPr>
          <w:rFonts w:cstheme="minorHAnsi"/>
        </w:rPr>
        <w:t>ransition to cloud while maintaining a manageable,</w:t>
      </w:r>
      <w:r>
        <w:rPr>
          <w:rFonts w:cstheme="minorHAnsi"/>
        </w:rPr>
        <w:t xml:space="preserve"> </w:t>
      </w:r>
      <w:r w:rsidRPr="0064605C">
        <w:rPr>
          <w:rFonts w:cstheme="minorHAnsi"/>
        </w:rPr>
        <w:t xml:space="preserve">secure, </w:t>
      </w:r>
      <w:r w:rsidR="00052F62">
        <w:rPr>
          <w:rFonts w:cstheme="minorHAnsi"/>
        </w:rPr>
        <w:t>regulatory complian</w:t>
      </w:r>
      <w:r w:rsidR="00EB2A38">
        <w:rPr>
          <w:rFonts w:cstheme="minorHAnsi"/>
        </w:rPr>
        <w:t>t</w:t>
      </w:r>
      <w:r w:rsidRPr="0064605C">
        <w:rPr>
          <w:rFonts w:cstheme="minorHAnsi"/>
        </w:rPr>
        <w:t xml:space="preserve"> and policy compliant environment. </w:t>
      </w:r>
      <w:r>
        <w:rPr>
          <w:rFonts w:cstheme="minorHAnsi"/>
        </w:rPr>
        <w:t xml:space="preserve"> </w:t>
      </w:r>
    </w:p>
    <w:p w14:paraId="06629C0E" w14:textId="1259CCC5" w:rsidR="00F167B3" w:rsidRDefault="00F167B3" w:rsidP="00EB2A38">
      <w:pPr>
        <w:pStyle w:val="BodyText"/>
        <w:spacing w:line="240" w:lineRule="auto"/>
        <w:ind w:left="720"/>
        <w:jc w:val="both"/>
        <w:rPr>
          <w:rFonts w:cstheme="minorHAnsi"/>
        </w:rPr>
      </w:pPr>
      <w:r w:rsidRPr="0064605C">
        <w:rPr>
          <w:rFonts w:cstheme="minorHAnsi"/>
        </w:rPr>
        <w:t xml:space="preserve">The </w:t>
      </w:r>
      <w:r>
        <w:rPr>
          <w:rFonts w:cstheme="minorHAnsi"/>
        </w:rPr>
        <w:t xml:space="preserve">guidance </w:t>
      </w:r>
      <w:r w:rsidRPr="0064605C">
        <w:rPr>
          <w:rFonts w:cstheme="minorHAnsi"/>
        </w:rPr>
        <w:t>may serve as a reference for critical</w:t>
      </w:r>
      <w:r>
        <w:rPr>
          <w:rFonts w:cstheme="minorHAnsi"/>
        </w:rPr>
        <w:t xml:space="preserve"> </w:t>
      </w:r>
      <w:r w:rsidRPr="0064605C">
        <w:rPr>
          <w:rFonts w:cstheme="minorHAnsi"/>
        </w:rPr>
        <w:t>decision-making across topics such as network topography, security capabilities, and leveraging the</w:t>
      </w:r>
      <w:r>
        <w:rPr>
          <w:rFonts w:cstheme="minorHAnsi"/>
        </w:rPr>
        <w:t xml:space="preserve"> i</w:t>
      </w:r>
      <w:r w:rsidRPr="0064605C">
        <w:rPr>
          <w:rFonts w:cstheme="minorHAnsi"/>
        </w:rPr>
        <w:t xml:space="preserve">nformation </w:t>
      </w:r>
      <w:r>
        <w:rPr>
          <w:rFonts w:cstheme="minorHAnsi"/>
        </w:rPr>
        <w:t>r</w:t>
      </w:r>
      <w:r w:rsidRPr="0064605C">
        <w:rPr>
          <w:rFonts w:cstheme="minorHAnsi"/>
        </w:rPr>
        <w:t xml:space="preserve">isk </w:t>
      </w:r>
      <w:r>
        <w:rPr>
          <w:rFonts w:cstheme="minorHAnsi"/>
        </w:rPr>
        <w:t xml:space="preserve">and </w:t>
      </w:r>
      <w:r w:rsidR="00FE13CF">
        <w:rPr>
          <w:rFonts w:cstheme="minorHAnsi"/>
        </w:rPr>
        <w:t xml:space="preserve">guide </w:t>
      </w:r>
      <w:r>
        <w:rPr>
          <w:rFonts w:cstheme="minorHAnsi"/>
        </w:rPr>
        <w:t>c</w:t>
      </w:r>
      <w:r w:rsidRPr="0064605C">
        <w:rPr>
          <w:rFonts w:cstheme="minorHAnsi"/>
        </w:rPr>
        <w:t xml:space="preserve">ompliance </w:t>
      </w:r>
      <w:r>
        <w:rPr>
          <w:rFonts w:cstheme="minorHAnsi"/>
        </w:rPr>
        <w:t>t</w:t>
      </w:r>
      <w:r w:rsidRPr="0064605C">
        <w:rPr>
          <w:rFonts w:cstheme="minorHAnsi"/>
        </w:rPr>
        <w:t>eam</w:t>
      </w:r>
      <w:r>
        <w:rPr>
          <w:rFonts w:cstheme="minorHAnsi"/>
        </w:rPr>
        <w:t>s</w:t>
      </w:r>
      <w:r w:rsidRPr="0064605C">
        <w:rPr>
          <w:rFonts w:cstheme="minorHAnsi"/>
        </w:rPr>
        <w:t xml:space="preserve"> to safely enable business initiatives</w:t>
      </w:r>
      <w:r>
        <w:rPr>
          <w:rFonts w:cstheme="minorHAnsi"/>
        </w:rPr>
        <w:t xml:space="preserve"> </w:t>
      </w:r>
      <w:r w:rsidRPr="0064605C">
        <w:rPr>
          <w:rFonts w:cstheme="minorHAnsi"/>
        </w:rPr>
        <w:t xml:space="preserve">in the cloud. </w:t>
      </w:r>
      <w:r>
        <w:rPr>
          <w:rFonts w:cstheme="minorHAnsi"/>
        </w:rPr>
        <w:t xml:space="preserve"> </w:t>
      </w:r>
    </w:p>
    <w:p w14:paraId="100969A7" w14:textId="77777777" w:rsidR="00102B5C" w:rsidRDefault="00F167B3" w:rsidP="005463E1">
      <w:pPr>
        <w:pStyle w:val="BodyText"/>
        <w:spacing w:line="240" w:lineRule="auto"/>
        <w:ind w:left="720"/>
        <w:jc w:val="both"/>
        <w:rPr>
          <w:rFonts w:cstheme="minorHAnsi"/>
        </w:rPr>
      </w:pPr>
      <w:r w:rsidRPr="005463E1">
        <w:rPr>
          <w:rFonts w:cstheme="minorHAnsi"/>
        </w:rPr>
        <w:t>Cloud</w:t>
      </w:r>
      <w:r w:rsidR="00102B5C" w:rsidRPr="005463E1">
        <w:rPr>
          <w:rFonts w:cstheme="minorHAnsi"/>
        </w:rPr>
        <w:t xml:space="preserve"> </w:t>
      </w:r>
      <w:r w:rsidR="00052F62" w:rsidRPr="005463E1">
        <w:rPr>
          <w:rFonts w:cstheme="minorHAnsi"/>
        </w:rPr>
        <w:t>Service C</w:t>
      </w:r>
      <w:r w:rsidR="00102B5C" w:rsidRPr="005463E1">
        <w:rPr>
          <w:rFonts w:cstheme="minorHAnsi"/>
        </w:rPr>
        <w:t>ustomer</w:t>
      </w:r>
      <w:r w:rsidR="00052F62" w:rsidRPr="005463E1">
        <w:rPr>
          <w:rFonts w:cstheme="minorHAnsi"/>
        </w:rPr>
        <w:t>s</w:t>
      </w:r>
      <w:r w:rsidR="00102B5C" w:rsidRPr="005463E1">
        <w:rPr>
          <w:rFonts w:cstheme="minorHAnsi"/>
        </w:rPr>
        <w:t xml:space="preserve"> </w:t>
      </w:r>
      <w:r w:rsidRPr="005463E1">
        <w:rPr>
          <w:rFonts w:cstheme="minorHAnsi"/>
        </w:rPr>
        <w:t xml:space="preserve">and </w:t>
      </w:r>
      <w:r w:rsidR="002543FE" w:rsidRPr="005463E1">
        <w:rPr>
          <w:rFonts w:cstheme="minorHAnsi"/>
        </w:rPr>
        <w:t>Cloud Service Brokers</w:t>
      </w:r>
      <w:r w:rsidRPr="005463E1">
        <w:rPr>
          <w:rFonts w:cstheme="minorHAnsi"/>
        </w:rPr>
        <w:t xml:space="preserve">, particularly those at organizations operating in multiple </w:t>
      </w:r>
      <w:r w:rsidR="00052F62" w:rsidRPr="005463E1">
        <w:rPr>
          <w:rFonts w:cstheme="minorHAnsi"/>
        </w:rPr>
        <w:t>locations</w:t>
      </w:r>
      <w:r w:rsidRPr="005463E1">
        <w:rPr>
          <w:rFonts w:cstheme="minorHAnsi"/>
        </w:rPr>
        <w:t xml:space="preserve">, should discuss the extent and </w:t>
      </w:r>
      <w:proofErr w:type="gramStart"/>
      <w:r w:rsidRPr="005463E1">
        <w:rPr>
          <w:rFonts w:cstheme="minorHAnsi"/>
        </w:rPr>
        <w:t>manner in which</w:t>
      </w:r>
      <w:proofErr w:type="gramEnd"/>
      <w:r w:rsidRPr="005463E1">
        <w:rPr>
          <w:rFonts w:cstheme="minorHAnsi"/>
        </w:rPr>
        <w:t xml:space="preserve"> they want to leverage cloud services both in their business in general as well as in the context of </w:t>
      </w:r>
      <w:proofErr w:type="spellStart"/>
      <w:r w:rsidRPr="005463E1">
        <w:rPr>
          <w:rFonts w:cstheme="minorHAnsi"/>
        </w:rPr>
        <w:t>GxP</w:t>
      </w:r>
      <w:proofErr w:type="spellEnd"/>
      <w:r w:rsidRPr="005463E1">
        <w:rPr>
          <w:rFonts w:cstheme="minorHAnsi"/>
        </w:rPr>
        <w:t xml:space="preserve"> activities.   An overall Cloud Governance </w:t>
      </w:r>
      <w:r w:rsidR="005463E1" w:rsidRPr="005463E1">
        <w:rPr>
          <w:rFonts w:cstheme="minorHAnsi"/>
        </w:rPr>
        <w:t>body can oversee</w:t>
      </w:r>
      <w:r w:rsidRPr="005463E1">
        <w:rPr>
          <w:rFonts w:cstheme="minorHAnsi"/>
        </w:rPr>
        <w:t xml:space="preserve"> this strategy and </w:t>
      </w:r>
      <w:r w:rsidR="005463E1" w:rsidRPr="005463E1">
        <w:rPr>
          <w:rFonts w:cstheme="minorHAnsi"/>
        </w:rPr>
        <w:t>monitor key factors like</w:t>
      </w:r>
      <w:r w:rsidRPr="005463E1">
        <w:rPr>
          <w:rFonts w:cstheme="minorHAnsi"/>
        </w:rPr>
        <w:t xml:space="preserve"> cost, </w:t>
      </w:r>
      <w:proofErr w:type="gramStart"/>
      <w:r w:rsidRPr="005463E1">
        <w:rPr>
          <w:rFonts w:cstheme="minorHAnsi"/>
        </w:rPr>
        <w:t>risk</w:t>
      </w:r>
      <w:proofErr w:type="gramEnd"/>
      <w:r w:rsidRPr="005463E1">
        <w:rPr>
          <w:rFonts w:cstheme="minorHAnsi"/>
        </w:rPr>
        <w:t xml:space="preserve"> and regulatory exposure.</w:t>
      </w:r>
    </w:p>
    <w:p w14:paraId="3372867D" w14:textId="77777777" w:rsidR="005F386A" w:rsidRDefault="005F386A" w:rsidP="005463E1">
      <w:pPr>
        <w:pStyle w:val="BodyText"/>
        <w:spacing w:line="240" w:lineRule="auto"/>
        <w:ind w:left="720"/>
        <w:jc w:val="both"/>
        <w:rPr>
          <w:rFonts w:cstheme="minorHAnsi"/>
        </w:rPr>
      </w:pPr>
    </w:p>
    <w:p w14:paraId="1AEABE11" w14:textId="57881715" w:rsidR="00D70D98" w:rsidRPr="00D70D98" w:rsidRDefault="00F167B3" w:rsidP="00D70D98">
      <w:pPr>
        <w:pStyle w:val="BodyText"/>
        <w:spacing w:line="240" w:lineRule="auto"/>
        <w:ind w:left="720"/>
        <w:jc w:val="both"/>
        <w:rPr>
          <w:rFonts w:cstheme="minorHAnsi"/>
        </w:rPr>
      </w:pPr>
      <w:r w:rsidRPr="005463E1">
        <w:rPr>
          <w:rFonts w:cstheme="minorHAnsi"/>
          <w:u w:val="single"/>
        </w:rPr>
        <w:t>Infrastructure/Platform Qualification</w:t>
      </w:r>
      <w:r w:rsidR="00D70D98">
        <w:rPr>
          <w:rFonts w:cstheme="minorHAnsi"/>
        </w:rPr>
        <w:t>:</w:t>
      </w:r>
      <w:r w:rsidRPr="005463E1">
        <w:rPr>
          <w:rFonts w:cstheme="minorHAnsi"/>
        </w:rPr>
        <w:t xml:space="preserve"> </w:t>
      </w:r>
      <w:r w:rsidR="00D70D98" w:rsidRPr="00D70D98">
        <w:rPr>
          <w:rFonts w:cstheme="minorHAnsi"/>
        </w:rPr>
        <w:t xml:space="preserve">In </w:t>
      </w:r>
      <w:proofErr w:type="spellStart"/>
      <w:r w:rsidR="00D70D98" w:rsidRPr="00D70D98">
        <w:rPr>
          <w:rFonts w:cstheme="minorHAnsi"/>
        </w:rPr>
        <w:t>GxP</w:t>
      </w:r>
      <w:proofErr w:type="spellEnd"/>
      <w:r w:rsidR="00D70D98" w:rsidRPr="00D70D98">
        <w:rPr>
          <w:rFonts w:cstheme="minorHAnsi"/>
        </w:rPr>
        <w:t xml:space="preserve"> environments, Cloud Service Customers must be able to demonstrate that the infrastructure and underlying platforms are qualified.  </w:t>
      </w:r>
    </w:p>
    <w:p w14:paraId="3A8A41E8" w14:textId="77777777" w:rsidR="00D70D98" w:rsidRDefault="00D70D98" w:rsidP="00D70D98">
      <w:pPr>
        <w:pStyle w:val="BodyText"/>
        <w:spacing w:line="240" w:lineRule="auto"/>
        <w:ind w:left="720"/>
        <w:jc w:val="both"/>
        <w:rPr>
          <w:rFonts w:cstheme="minorHAnsi"/>
        </w:rPr>
      </w:pPr>
      <w:r w:rsidRPr="00D70D98">
        <w:rPr>
          <w:rFonts w:cstheme="minorHAnsi"/>
        </w:rPr>
        <w:t>‘Qualification’ is a legacy term, but in practice is a set of stages in the documented S</w:t>
      </w:r>
      <w:r w:rsidR="00593576">
        <w:rPr>
          <w:rFonts w:cstheme="minorHAnsi"/>
        </w:rPr>
        <w:t>DLC process covering testing</w:t>
      </w:r>
      <w:r w:rsidRPr="00D70D98">
        <w:rPr>
          <w:rFonts w:cstheme="minorHAnsi"/>
        </w:rPr>
        <w:t>, validation of an install, and documentation of completion of these processes. When applied to a platform, or infrastructure, this process ensures the underlying components that support regulated applications are appropriate for their intended use.</w:t>
      </w:r>
    </w:p>
    <w:p w14:paraId="650F2FCE" w14:textId="541909E0" w:rsidR="00D70D98" w:rsidRPr="00D70D98" w:rsidRDefault="00D70D98" w:rsidP="00D70D98">
      <w:pPr>
        <w:pStyle w:val="BodyText"/>
        <w:spacing w:line="240" w:lineRule="auto"/>
        <w:ind w:left="720"/>
        <w:jc w:val="both"/>
        <w:rPr>
          <w:rFonts w:cstheme="minorHAnsi"/>
        </w:rPr>
      </w:pPr>
      <w:r w:rsidRPr="00D70D98">
        <w:rPr>
          <w:rFonts w:cstheme="minorHAnsi"/>
        </w:rPr>
        <w:t>As part of the SDLC, the Qualification strategy for a platform or infrastructure is often a set of deliverables required for regulated business applications. It frequently includes:</w:t>
      </w:r>
    </w:p>
    <w:p w14:paraId="12A9D977" w14:textId="65E65661" w:rsidR="00D70D98" w:rsidRPr="00D70D98" w:rsidRDefault="00D70D98" w:rsidP="00D70D98">
      <w:pPr>
        <w:pStyle w:val="BodyText"/>
        <w:numPr>
          <w:ilvl w:val="0"/>
          <w:numId w:val="28"/>
        </w:numPr>
        <w:spacing w:line="240" w:lineRule="auto"/>
        <w:jc w:val="both"/>
        <w:rPr>
          <w:rFonts w:cstheme="minorHAnsi"/>
        </w:rPr>
      </w:pPr>
      <w:r w:rsidRPr="00D70D98">
        <w:rPr>
          <w:rFonts w:cstheme="minorHAnsi"/>
        </w:rPr>
        <w:t>Quality Assurance or Qualification Plans, Requirements and Design/Configuration Specifications (</w:t>
      </w:r>
      <w:r w:rsidR="00E5341A" w:rsidRPr="00D70D98">
        <w:rPr>
          <w:rFonts w:cstheme="minorHAnsi"/>
        </w:rPr>
        <w:t>e.g.,</w:t>
      </w:r>
      <w:r w:rsidRPr="00D70D98">
        <w:rPr>
          <w:rFonts w:cstheme="minorHAnsi"/>
        </w:rPr>
        <w:t xml:space="preserve"> Technical Standards, Degree of customization required, parameter settings)</w:t>
      </w:r>
    </w:p>
    <w:p w14:paraId="190865BA" w14:textId="77777777" w:rsidR="00D70D98" w:rsidRPr="00D70D98" w:rsidRDefault="00D70D98" w:rsidP="00D70D98">
      <w:pPr>
        <w:pStyle w:val="BodyText"/>
        <w:numPr>
          <w:ilvl w:val="0"/>
          <w:numId w:val="28"/>
        </w:numPr>
        <w:spacing w:line="240" w:lineRule="auto"/>
        <w:jc w:val="both"/>
        <w:rPr>
          <w:rFonts w:cstheme="minorHAnsi"/>
        </w:rPr>
      </w:pPr>
      <w:r w:rsidRPr="00D70D98">
        <w:rPr>
          <w:rFonts w:cstheme="minorHAnsi"/>
        </w:rPr>
        <w:t>Installation qualification and operational qualification (IQ/OQ) for infrastructure. The industry sometimes uses other terms to indicate these testing processes such as ‘verification’ to reduce confusion with process validation activities.</w:t>
      </w:r>
    </w:p>
    <w:p w14:paraId="72334C96" w14:textId="1E8D3353" w:rsidR="00D70D98" w:rsidRPr="00D70D98" w:rsidRDefault="00D70D98" w:rsidP="00D70D98">
      <w:pPr>
        <w:pStyle w:val="BodyText"/>
        <w:numPr>
          <w:ilvl w:val="0"/>
          <w:numId w:val="28"/>
        </w:numPr>
        <w:spacing w:line="240" w:lineRule="auto"/>
        <w:jc w:val="both"/>
        <w:rPr>
          <w:rFonts w:cstheme="minorHAnsi"/>
        </w:rPr>
      </w:pPr>
      <w:r w:rsidRPr="00D70D98">
        <w:rPr>
          <w:rFonts w:cstheme="minorHAnsi"/>
        </w:rPr>
        <w:t>Formal Agreements (</w:t>
      </w:r>
      <w:r w:rsidR="00E5341A" w:rsidRPr="00D70D98">
        <w:rPr>
          <w:rFonts w:cstheme="minorHAnsi"/>
        </w:rPr>
        <w:t>e.g.,</w:t>
      </w:r>
      <w:r w:rsidRPr="00D70D98">
        <w:rPr>
          <w:rFonts w:cstheme="minorHAnsi"/>
        </w:rPr>
        <w:t xml:space="preserve"> Service Level Agreements (SLAs)/Operating Level Agreements (OLAs))</w:t>
      </w:r>
    </w:p>
    <w:p w14:paraId="350E034A" w14:textId="33302734" w:rsidR="00D70D98" w:rsidRPr="00D70D98" w:rsidRDefault="00D70D98" w:rsidP="00D70D98">
      <w:pPr>
        <w:pStyle w:val="BodyText"/>
        <w:numPr>
          <w:ilvl w:val="0"/>
          <w:numId w:val="28"/>
        </w:numPr>
        <w:spacing w:line="240" w:lineRule="auto"/>
        <w:jc w:val="both"/>
        <w:rPr>
          <w:rFonts w:cstheme="minorHAnsi"/>
        </w:rPr>
      </w:pPr>
      <w:r w:rsidRPr="00D70D98">
        <w:rPr>
          <w:rFonts w:cstheme="minorHAnsi"/>
        </w:rPr>
        <w:t xml:space="preserve">SOPS governing specific Infrastructure or Platform </w:t>
      </w:r>
      <w:r w:rsidR="005800F6" w:rsidRPr="00D70D98">
        <w:rPr>
          <w:rFonts w:cstheme="minorHAnsi"/>
        </w:rPr>
        <w:t>processes.</w:t>
      </w:r>
    </w:p>
    <w:p w14:paraId="75A0FDD4" w14:textId="77777777" w:rsidR="00D70D98" w:rsidRPr="00D70D98" w:rsidRDefault="00D70D98" w:rsidP="00D70D98">
      <w:pPr>
        <w:pStyle w:val="BodyText"/>
        <w:numPr>
          <w:ilvl w:val="0"/>
          <w:numId w:val="28"/>
        </w:numPr>
        <w:spacing w:line="240" w:lineRule="auto"/>
        <w:jc w:val="both"/>
        <w:rPr>
          <w:rFonts w:cstheme="minorHAnsi"/>
        </w:rPr>
      </w:pPr>
      <w:r w:rsidRPr="00D70D98">
        <w:rPr>
          <w:rFonts w:cstheme="minorHAnsi"/>
        </w:rPr>
        <w:t xml:space="preserve">SOPs governing Infrastructure's approach to the support of </w:t>
      </w:r>
      <w:proofErr w:type="spellStart"/>
      <w:r w:rsidRPr="00D70D98">
        <w:rPr>
          <w:rFonts w:cstheme="minorHAnsi"/>
        </w:rPr>
        <w:t>GxP</w:t>
      </w:r>
      <w:proofErr w:type="spellEnd"/>
      <w:r w:rsidRPr="00D70D98">
        <w:rPr>
          <w:rFonts w:cstheme="minorHAnsi"/>
        </w:rPr>
        <w:t xml:space="preserve"> applications</w:t>
      </w:r>
    </w:p>
    <w:p w14:paraId="3C36A6F3" w14:textId="77777777" w:rsidR="00D70D98" w:rsidRPr="00D70D98" w:rsidRDefault="00D70D98" w:rsidP="00D70D98">
      <w:pPr>
        <w:pStyle w:val="BodyText"/>
        <w:numPr>
          <w:ilvl w:val="0"/>
          <w:numId w:val="28"/>
        </w:numPr>
        <w:spacing w:line="240" w:lineRule="auto"/>
        <w:jc w:val="both"/>
        <w:rPr>
          <w:rFonts w:cstheme="minorHAnsi"/>
        </w:rPr>
      </w:pPr>
      <w:r w:rsidRPr="00D70D98">
        <w:rPr>
          <w:rFonts w:cstheme="minorHAnsi"/>
        </w:rPr>
        <w:t>Documentation of the infrastructure, including manuals, usage instructions, and processes for knowledge management</w:t>
      </w:r>
    </w:p>
    <w:p w14:paraId="17AF98B6" w14:textId="77777777" w:rsidR="00D70D98" w:rsidRPr="00D70D98" w:rsidRDefault="00D70D98" w:rsidP="00D70D98">
      <w:pPr>
        <w:pStyle w:val="BodyText"/>
        <w:numPr>
          <w:ilvl w:val="0"/>
          <w:numId w:val="28"/>
        </w:numPr>
        <w:spacing w:line="240" w:lineRule="auto"/>
        <w:jc w:val="both"/>
        <w:rPr>
          <w:rFonts w:cstheme="minorHAnsi"/>
        </w:rPr>
      </w:pPr>
      <w:r w:rsidRPr="00D70D98">
        <w:rPr>
          <w:rFonts w:cstheme="minorHAnsi"/>
        </w:rPr>
        <w:t>Disaster Recovery and/or Business Continuity Plans for critical services/infrastructure utilities.</w:t>
      </w:r>
    </w:p>
    <w:p w14:paraId="46824F31" w14:textId="1BE21013" w:rsidR="00460C3A" w:rsidRDefault="00D70D98" w:rsidP="006A0174">
      <w:pPr>
        <w:tabs>
          <w:tab w:val="left" w:pos="720"/>
        </w:tabs>
        <w:ind w:left="720"/>
        <w:rPr>
          <w:rFonts w:cstheme="minorHAnsi"/>
        </w:rPr>
      </w:pPr>
      <w:r w:rsidRPr="00D70D98">
        <w:rPr>
          <w:rFonts w:cstheme="minorHAnsi"/>
        </w:rPr>
        <w:t xml:space="preserve">When applying these qualification processes to a cloud infrastructure, it is important to understand the layers of the cloud, and ensure the proper controls are qualified at each layer. For example, an application could be installed on a reusable machine image from which instances are launched. The machine image must be qualified for use in a </w:t>
      </w:r>
      <w:proofErr w:type="spellStart"/>
      <w:r w:rsidRPr="00D70D98">
        <w:rPr>
          <w:rFonts w:cstheme="minorHAnsi"/>
        </w:rPr>
        <w:t>GxP</w:t>
      </w:r>
      <w:proofErr w:type="spellEnd"/>
      <w:r w:rsidRPr="00D70D98">
        <w:rPr>
          <w:rFonts w:cstheme="minorHAnsi"/>
        </w:rPr>
        <w:t xml:space="preserve"> environment. The qualification activities for the image are distinct from any activities that must be performed for the instances that are created from it.</w:t>
      </w:r>
      <w:r w:rsidR="00D7263F">
        <w:rPr>
          <w:rFonts w:cstheme="minorHAnsi"/>
        </w:rPr>
        <w:t xml:space="preserve"> There may be scenarios, where it isn’t possible to adopt documentation from </w:t>
      </w:r>
      <w:r w:rsidR="0074331C">
        <w:rPr>
          <w:rFonts w:cstheme="minorHAnsi"/>
        </w:rPr>
        <w:t xml:space="preserve">a </w:t>
      </w:r>
      <w:r w:rsidR="00D7263F">
        <w:rPr>
          <w:rFonts w:cstheme="minorHAnsi"/>
        </w:rPr>
        <w:t>Cloud Service provider on specific part of the service. In that case a pro</w:t>
      </w:r>
      <w:r w:rsidR="0074331C">
        <w:rPr>
          <w:rFonts w:cstheme="minorHAnsi"/>
        </w:rPr>
        <w:t>p</w:t>
      </w:r>
      <w:r w:rsidR="00D7263F">
        <w:rPr>
          <w:rFonts w:cstheme="minorHAnsi"/>
        </w:rPr>
        <w:t>er risk assessment must be conducted.</w:t>
      </w:r>
    </w:p>
    <w:p w14:paraId="030A8697" w14:textId="3499F85A" w:rsidR="00FE13CF" w:rsidRPr="00D307DD" w:rsidRDefault="00F167B3" w:rsidP="005463E1">
      <w:pPr>
        <w:pStyle w:val="BodyText"/>
        <w:ind w:left="720"/>
        <w:jc w:val="both"/>
        <w:rPr>
          <w:rFonts w:cstheme="minorHAnsi"/>
        </w:rPr>
      </w:pPr>
      <w:r>
        <w:rPr>
          <w:rFonts w:cstheme="minorHAnsi"/>
        </w:rPr>
        <w:t xml:space="preserve">As noted </w:t>
      </w:r>
      <w:r w:rsidR="005463E1" w:rsidRPr="005463E1">
        <w:rPr>
          <w:rFonts w:cstheme="minorHAnsi"/>
        </w:rPr>
        <w:t>previously</w:t>
      </w:r>
      <w:r w:rsidRPr="005463E1">
        <w:rPr>
          <w:rFonts w:cstheme="minorHAnsi"/>
        </w:rPr>
        <w:t xml:space="preserve">, </w:t>
      </w:r>
      <w:r w:rsidR="00460C3A">
        <w:rPr>
          <w:rFonts w:cstheme="minorHAnsi"/>
        </w:rPr>
        <w:t>some</w:t>
      </w:r>
      <w:r w:rsidR="00460C3A" w:rsidRPr="005463E1">
        <w:rPr>
          <w:rFonts w:cstheme="minorHAnsi"/>
        </w:rPr>
        <w:t xml:space="preserve"> </w:t>
      </w:r>
      <w:r w:rsidRPr="005463E1">
        <w:rPr>
          <w:rFonts w:cstheme="minorHAnsi"/>
        </w:rPr>
        <w:t xml:space="preserve">of this information may reside with the </w:t>
      </w:r>
      <w:r w:rsidR="005463E1" w:rsidRPr="005463E1">
        <w:rPr>
          <w:rFonts w:cstheme="minorHAnsi"/>
        </w:rPr>
        <w:t>Cloud Service B</w:t>
      </w:r>
      <w:r w:rsidR="00102B5C" w:rsidRPr="005463E1">
        <w:rPr>
          <w:rFonts w:cstheme="minorHAnsi"/>
        </w:rPr>
        <w:t>roker</w:t>
      </w:r>
      <w:r w:rsidRPr="005463E1">
        <w:rPr>
          <w:rFonts w:cstheme="minorHAnsi"/>
        </w:rPr>
        <w:t xml:space="preserve">.  </w:t>
      </w:r>
      <w:r w:rsidR="00FE13CF" w:rsidRPr="005463E1">
        <w:rPr>
          <w:rFonts w:cstheme="minorHAnsi"/>
        </w:rPr>
        <w:t>Therefore,</w:t>
      </w:r>
      <w:r w:rsidRPr="005463E1">
        <w:rPr>
          <w:rFonts w:cstheme="minorHAnsi"/>
        </w:rPr>
        <w:t xml:space="preserve"> </w:t>
      </w:r>
      <w:r w:rsidR="005463E1" w:rsidRPr="005463E1">
        <w:rPr>
          <w:rFonts w:cstheme="minorHAnsi"/>
        </w:rPr>
        <w:t>Cloud Service C</w:t>
      </w:r>
      <w:r w:rsidR="00102B5C" w:rsidRPr="005463E1">
        <w:rPr>
          <w:rFonts w:cstheme="minorHAnsi"/>
        </w:rPr>
        <w:t>ustomer</w:t>
      </w:r>
      <w:r w:rsidR="005463E1" w:rsidRPr="005463E1">
        <w:rPr>
          <w:rFonts w:cstheme="minorHAnsi"/>
        </w:rPr>
        <w:t>s</w:t>
      </w:r>
      <w:r w:rsidR="00102B5C" w:rsidRPr="005463E1">
        <w:rPr>
          <w:rFonts w:cstheme="minorHAnsi"/>
        </w:rPr>
        <w:t xml:space="preserve"> </w:t>
      </w:r>
      <w:r w:rsidRPr="005463E1">
        <w:rPr>
          <w:rFonts w:cstheme="minorHAnsi"/>
        </w:rPr>
        <w:t xml:space="preserve">will need </w:t>
      </w:r>
      <w:r w:rsidR="000155E0">
        <w:rPr>
          <w:rFonts w:cstheme="minorHAnsi"/>
        </w:rPr>
        <w:t xml:space="preserve">to </w:t>
      </w:r>
      <w:r w:rsidRPr="005463E1">
        <w:rPr>
          <w:rFonts w:cstheme="minorHAnsi"/>
        </w:rPr>
        <w:t>work closely with the</w:t>
      </w:r>
      <w:r w:rsidR="005463E1" w:rsidRPr="005463E1">
        <w:rPr>
          <w:rFonts w:cstheme="minorHAnsi"/>
        </w:rPr>
        <w:t>ir</w:t>
      </w:r>
      <w:r w:rsidRPr="005463E1">
        <w:rPr>
          <w:rFonts w:cstheme="minorHAnsi"/>
        </w:rPr>
        <w:t xml:space="preserve"> </w:t>
      </w:r>
      <w:r w:rsidR="005463E1" w:rsidRPr="005463E1">
        <w:rPr>
          <w:rFonts w:cstheme="minorHAnsi"/>
        </w:rPr>
        <w:t>C</w:t>
      </w:r>
      <w:r w:rsidR="00102B5C" w:rsidRPr="005463E1">
        <w:rPr>
          <w:rFonts w:cstheme="minorHAnsi"/>
        </w:rPr>
        <w:t xml:space="preserve">loud </w:t>
      </w:r>
      <w:r w:rsidR="005463E1" w:rsidRPr="005463E1">
        <w:rPr>
          <w:rFonts w:cstheme="minorHAnsi"/>
        </w:rPr>
        <w:t>S</w:t>
      </w:r>
      <w:r w:rsidR="00102B5C" w:rsidRPr="005463E1">
        <w:rPr>
          <w:rFonts w:cstheme="minorHAnsi"/>
        </w:rPr>
        <w:t xml:space="preserve">ervice </w:t>
      </w:r>
      <w:r w:rsidR="005463E1" w:rsidRPr="005463E1">
        <w:rPr>
          <w:rFonts w:cstheme="minorHAnsi"/>
        </w:rPr>
        <w:t>P</w:t>
      </w:r>
      <w:r w:rsidR="00102B5C" w:rsidRPr="005463E1">
        <w:rPr>
          <w:rFonts w:cstheme="minorHAnsi"/>
        </w:rPr>
        <w:t>rovider</w:t>
      </w:r>
      <w:r w:rsidR="005463E1" w:rsidRPr="005463E1">
        <w:rPr>
          <w:rFonts w:cstheme="minorHAnsi"/>
        </w:rPr>
        <w:t>s</w:t>
      </w:r>
      <w:r w:rsidR="00102B5C" w:rsidRPr="005463E1">
        <w:rPr>
          <w:rFonts w:cstheme="minorHAnsi"/>
        </w:rPr>
        <w:t xml:space="preserve"> or </w:t>
      </w:r>
      <w:r w:rsidR="005463E1" w:rsidRPr="005463E1">
        <w:rPr>
          <w:rFonts w:cstheme="minorHAnsi"/>
        </w:rPr>
        <w:t>Cloud Service B</w:t>
      </w:r>
      <w:r w:rsidR="00102B5C" w:rsidRPr="005463E1">
        <w:rPr>
          <w:rFonts w:cstheme="minorHAnsi"/>
        </w:rPr>
        <w:t>roker</w:t>
      </w:r>
      <w:r w:rsidR="005463E1" w:rsidRPr="005463E1">
        <w:rPr>
          <w:rFonts w:cstheme="minorHAnsi"/>
        </w:rPr>
        <w:t>s</w:t>
      </w:r>
      <w:r w:rsidR="00102B5C" w:rsidRPr="005463E1">
        <w:rPr>
          <w:rFonts w:cstheme="minorHAnsi"/>
        </w:rPr>
        <w:t xml:space="preserve"> </w:t>
      </w:r>
      <w:r w:rsidRPr="005463E1">
        <w:rPr>
          <w:rFonts w:cstheme="minorHAnsi"/>
        </w:rPr>
        <w:t xml:space="preserve">to create a process in which this information can be referenced and </w:t>
      </w:r>
      <w:r w:rsidR="00E5341A" w:rsidRPr="005463E1">
        <w:rPr>
          <w:rFonts w:cstheme="minorHAnsi"/>
        </w:rPr>
        <w:t>managed or</w:t>
      </w:r>
      <w:r w:rsidRPr="005463E1">
        <w:rPr>
          <w:rFonts w:cstheme="minorHAnsi"/>
        </w:rPr>
        <w:t xml:space="preserve"> provided upon request during a regulatory inspection.</w:t>
      </w:r>
    </w:p>
    <w:p w14:paraId="6FB81807" w14:textId="77777777" w:rsidR="00F167B3" w:rsidRPr="00FC3558" w:rsidRDefault="00F167B3" w:rsidP="00ED5999">
      <w:pPr>
        <w:pStyle w:val="Heading3"/>
      </w:pPr>
      <w:bookmarkStart w:id="37" w:name="_Ref3284894"/>
      <w:bookmarkStart w:id="38" w:name="_Ref3285095"/>
      <w:bookmarkStart w:id="39" w:name="_Ref3285284"/>
      <w:bookmarkStart w:id="40" w:name="_Toc138311614"/>
      <w:r w:rsidRPr="00FC3558">
        <w:t>Supplier Management Policies</w:t>
      </w:r>
      <w:bookmarkEnd w:id="37"/>
      <w:bookmarkEnd w:id="38"/>
      <w:bookmarkEnd w:id="39"/>
      <w:bookmarkEnd w:id="40"/>
    </w:p>
    <w:p w14:paraId="63939E87" w14:textId="354F355F" w:rsidR="00F26631" w:rsidRDefault="00F167B3" w:rsidP="0014128B">
      <w:pPr>
        <w:pStyle w:val="BodyText"/>
        <w:jc w:val="both"/>
        <w:rPr>
          <w:rFonts w:cstheme="minorHAnsi"/>
        </w:rPr>
      </w:pPr>
      <w:r>
        <w:rPr>
          <w:rFonts w:cstheme="minorHAnsi"/>
        </w:rPr>
        <w:t>Cloud servic</w:t>
      </w:r>
      <w:r w:rsidR="000155E0">
        <w:rPr>
          <w:rFonts w:cstheme="minorHAnsi"/>
        </w:rPr>
        <w:t>e models</w:t>
      </w:r>
      <w:r>
        <w:rPr>
          <w:rFonts w:cstheme="minorHAnsi"/>
        </w:rPr>
        <w:t xml:space="preserve"> typically involve external </w:t>
      </w:r>
      <w:r w:rsidR="000155E0">
        <w:rPr>
          <w:rFonts w:cstheme="minorHAnsi"/>
        </w:rPr>
        <w:t>“</w:t>
      </w:r>
      <w:r>
        <w:rPr>
          <w:rFonts w:cstheme="minorHAnsi"/>
        </w:rPr>
        <w:t xml:space="preserve">IT </w:t>
      </w:r>
      <w:r w:rsidR="000155E0">
        <w:rPr>
          <w:rFonts w:cstheme="minorHAnsi"/>
        </w:rPr>
        <w:t>service s</w:t>
      </w:r>
      <w:r>
        <w:rPr>
          <w:rFonts w:cstheme="minorHAnsi"/>
        </w:rPr>
        <w:t>upplier</w:t>
      </w:r>
      <w:r w:rsidR="005463E1">
        <w:rPr>
          <w:rFonts w:cstheme="minorHAnsi"/>
        </w:rPr>
        <w:t>s</w:t>
      </w:r>
      <w:r w:rsidR="000155E0">
        <w:rPr>
          <w:rFonts w:cstheme="minorHAnsi"/>
        </w:rPr>
        <w:t>” of various forms</w:t>
      </w:r>
      <w:r w:rsidR="005463E1">
        <w:rPr>
          <w:rFonts w:cstheme="minorHAnsi"/>
        </w:rPr>
        <w:t xml:space="preserve"> that provide both services and </w:t>
      </w:r>
      <w:r>
        <w:rPr>
          <w:rFonts w:cstheme="minorHAnsi"/>
        </w:rPr>
        <w:t>system</w:t>
      </w:r>
      <w:r w:rsidR="005463E1">
        <w:rPr>
          <w:rFonts w:cstheme="minorHAnsi"/>
        </w:rPr>
        <w:t>s</w:t>
      </w:r>
      <w:r>
        <w:rPr>
          <w:rFonts w:cstheme="minorHAnsi"/>
        </w:rPr>
        <w:t xml:space="preserve">.  In addition, reliance </w:t>
      </w:r>
      <w:r w:rsidRPr="0014128B">
        <w:rPr>
          <w:rFonts w:cstheme="minorHAnsi"/>
        </w:rPr>
        <w:t xml:space="preserve">on the </w:t>
      </w:r>
      <w:r w:rsidR="005463E1" w:rsidRPr="0014128B">
        <w:rPr>
          <w:rFonts w:cstheme="minorHAnsi"/>
        </w:rPr>
        <w:t>Cloud Service P</w:t>
      </w:r>
      <w:r w:rsidR="00FF2BEA" w:rsidRPr="0014128B">
        <w:rPr>
          <w:rFonts w:cstheme="minorHAnsi"/>
        </w:rPr>
        <w:t xml:space="preserve">rovider or </w:t>
      </w:r>
      <w:r w:rsidR="0014128B" w:rsidRPr="0014128B">
        <w:rPr>
          <w:rFonts w:cstheme="minorHAnsi"/>
        </w:rPr>
        <w:t>Cloud Service B</w:t>
      </w:r>
      <w:r w:rsidR="00FF2BEA" w:rsidRPr="0014128B">
        <w:rPr>
          <w:rFonts w:cstheme="minorHAnsi"/>
        </w:rPr>
        <w:t>roker</w:t>
      </w:r>
      <w:r w:rsidR="0014128B" w:rsidRPr="0014128B">
        <w:rPr>
          <w:rFonts w:cstheme="minorHAnsi"/>
        </w:rPr>
        <w:t xml:space="preserve"> </w:t>
      </w:r>
      <w:r w:rsidRPr="0014128B">
        <w:rPr>
          <w:rFonts w:cstheme="minorHAnsi"/>
        </w:rPr>
        <w:t>will be critical during the operational phase of the system and service.</w:t>
      </w:r>
    </w:p>
    <w:p w14:paraId="1EA8631D" w14:textId="77777777" w:rsidR="005F386A" w:rsidRDefault="005F386A" w:rsidP="0014128B">
      <w:pPr>
        <w:pStyle w:val="BodyText"/>
        <w:jc w:val="both"/>
        <w:rPr>
          <w:rFonts w:cstheme="minorHAnsi"/>
        </w:rPr>
      </w:pPr>
    </w:p>
    <w:p w14:paraId="31358E97" w14:textId="586465F6" w:rsidR="00F167B3" w:rsidRPr="002E79F2" w:rsidRDefault="00F167B3" w:rsidP="0014128B">
      <w:pPr>
        <w:pStyle w:val="BodyText"/>
        <w:jc w:val="both"/>
        <w:rPr>
          <w:rFonts w:cstheme="minorHAnsi"/>
        </w:rPr>
      </w:pPr>
      <w:r w:rsidRPr="0014128B">
        <w:rPr>
          <w:rFonts w:cstheme="minorHAnsi"/>
        </w:rPr>
        <w:t>Therefore, key policies around management of these types of cloud suppliers</w:t>
      </w:r>
      <w:r>
        <w:rPr>
          <w:rFonts w:cstheme="minorHAnsi"/>
        </w:rPr>
        <w:t xml:space="preserve"> become paramount.</w:t>
      </w:r>
    </w:p>
    <w:p w14:paraId="6EABFFC2" w14:textId="77777777" w:rsidR="00A66963" w:rsidRDefault="00A66963" w:rsidP="00A66963">
      <w:pPr>
        <w:pStyle w:val="BodyText"/>
        <w:ind w:left="720"/>
        <w:jc w:val="both"/>
        <w:rPr>
          <w:rFonts w:cstheme="minorHAnsi"/>
        </w:rPr>
      </w:pPr>
      <w:r w:rsidRPr="00721F2E">
        <w:rPr>
          <w:rFonts w:cstheme="minorHAnsi"/>
          <w:u w:val="single"/>
        </w:rPr>
        <w:t>Supplier</w:t>
      </w:r>
      <w:r>
        <w:rPr>
          <w:rFonts w:cstheme="minorHAnsi"/>
          <w:u w:val="single"/>
        </w:rPr>
        <w:t xml:space="preserve"> IT Practices</w:t>
      </w:r>
      <w:r w:rsidRPr="00721F2E">
        <w:rPr>
          <w:rFonts w:cstheme="minorHAnsi"/>
          <w:u w:val="single"/>
        </w:rPr>
        <w:t xml:space="preserve"> Assessment</w:t>
      </w:r>
      <w:r w:rsidRPr="00721F2E">
        <w:rPr>
          <w:rFonts w:cstheme="minorHAnsi"/>
        </w:rPr>
        <w:t xml:space="preserve"> - The competence and reliability of Cloud Service Brokers and Cloud Service Providers are key factors when selecting a cloud system/service.  As such, each should be </w:t>
      </w:r>
      <w:r>
        <w:rPr>
          <w:rFonts w:cstheme="minorHAnsi"/>
        </w:rPr>
        <w:t>formally and rigo</w:t>
      </w:r>
      <w:r w:rsidRPr="00721F2E">
        <w:rPr>
          <w:rFonts w:cstheme="minorHAnsi"/>
        </w:rPr>
        <w:t xml:space="preserve">rously assessed and documented by the Cloud Service Customer on an ongoing basis.   The documentary artifacts should available upon request, as this is an expectation of regulatory agencies for all systems supporting regulated business functions.  </w:t>
      </w:r>
      <w:r>
        <w:rPr>
          <w:rFonts w:cstheme="minorHAnsi"/>
        </w:rPr>
        <w:t>A separate Cloud Service Auditor may be engaged to perform this activity.</w:t>
      </w:r>
    </w:p>
    <w:p w14:paraId="577FAB90" w14:textId="77777777" w:rsidR="00A66963" w:rsidRDefault="00A66963" w:rsidP="00A66963">
      <w:pPr>
        <w:pStyle w:val="BodyText"/>
        <w:ind w:left="720"/>
        <w:jc w:val="both"/>
        <w:rPr>
          <w:rFonts w:cstheme="minorHAnsi"/>
        </w:rPr>
      </w:pPr>
      <w:r w:rsidRPr="00883563">
        <w:rPr>
          <w:rFonts w:cstheme="minorHAnsi"/>
        </w:rPr>
        <w:t>As</w:t>
      </w:r>
      <w:r w:rsidRPr="00721F2E">
        <w:rPr>
          <w:rFonts w:cstheme="minorHAnsi"/>
        </w:rPr>
        <w:t xml:space="preserve"> Cloud Service Brokers and Cloud Service Providers provide both services and systems, the overall assessment process will require an analysis of both.  As such, </w:t>
      </w:r>
      <w:r>
        <w:rPr>
          <w:rFonts w:cstheme="minorHAnsi"/>
        </w:rPr>
        <w:t xml:space="preserve">an </w:t>
      </w:r>
      <w:r w:rsidRPr="00721F2E">
        <w:rPr>
          <w:rFonts w:cstheme="minorHAnsi"/>
        </w:rPr>
        <w:t>assessment must focus on both the internal practices of the providers to develop and maintain the systems, as well as relevant supplier practices, including their quality system, etc., needed to support the services.</w:t>
      </w:r>
      <w:r>
        <w:rPr>
          <w:rFonts w:cstheme="minorHAnsi"/>
        </w:rPr>
        <w:t xml:space="preserve">  This general assessment practices would be initially assessed, and then re-performed on an agreed to periodic basis typically covering areas such as the following:</w:t>
      </w:r>
    </w:p>
    <w:p w14:paraId="57E59757" w14:textId="77777777" w:rsidR="00A66963" w:rsidRPr="009E1D18" w:rsidRDefault="00A66963" w:rsidP="00A66963">
      <w:pPr>
        <w:pStyle w:val="Default"/>
        <w:numPr>
          <w:ilvl w:val="0"/>
          <w:numId w:val="18"/>
        </w:numPr>
        <w:rPr>
          <w:rFonts w:asciiTheme="minorHAnsi" w:hAnsiTheme="minorHAnsi" w:cstheme="minorHAnsi"/>
          <w:sz w:val="22"/>
          <w:szCs w:val="22"/>
        </w:rPr>
      </w:pPr>
      <w:r w:rsidRPr="009E1D18">
        <w:rPr>
          <w:rFonts w:asciiTheme="minorHAnsi" w:hAnsiTheme="minorHAnsi" w:cstheme="minorHAnsi"/>
          <w:sz w:val="22"/>
          <w:szCs w:val="22"/>
        </w:rPr>
        <w:t>Personnel and Background Verification</w:t>
      </w:r>
    </w:p>
    <w:p w14:paraId="1DEBD141" w14:textId="77777777" w:rsidR="00A66963" w:rsidRPr="009E1D18" w:rsidRDefault="00A66963" w:rsidP="00A66963">
      <w:pPr>
        <w:pStyle w:val="Default"/>
        <w:numPr>
          <w:ilvl w:val="0"/>
          <w:numId w:val="18"/>
        </w:numPr>
        <w:rPr>
          <w:rFonts w:asciiTheme="minorHAnsi" w:hAnsiTheme="minorHAnsi" w:cstheme="minorHAnsi"/>
          <w:sz w:val="22"/>
          <w:szCs w:val="22"/>
        </w:rPr>
      </w:pPr>
      <w:r w:rsidRPr="009E1D18">
        <w:rPr>
          <w:rFonts w:asciiTheme="minorHAnsi" w:hAnsiTheme="minorHAnsi" w:cstheme="minorHAnsi"/>
          <w:sz w:val="22"/>
          <w:szCs w:val="22"/>
        </w:rPr>
        <w:t>Training</w:t>
      </w:r>
    </w:p>
    <w:p w14:paraId="7AC76C9F" w14:textId="77777777" w:rsidR="00A66963" w:rsidRPr="009E1D18" w:rsidRDefault="00A66963" w:rsidP="00A66963">
      <w:pPr>
        <w:pStyle w:val="Default"/>
        <w:numPr>
          <w:ilvl w:val="0"/>
          <w:numId w:val="18"/>
        </w:numPr>
        <w:rPr>
          <w:rFonts w:asciiTheme="minorHAnsi" w:hAnsiTheme="minorHAnsi" w:cstheme="minorHAnsi"/>
          <w:sz w:val="22"/>
          <w:szCs w:val="22"/>
        </w:rPr>
      </w:pPr>
      <w:r w:rsidRPr="009E1D18">
        <w:rPr>
          <w:rFonts w:asciiTheme="minorHAnsi" w:hAnsiTheme="minorHAnsi" w:cstheme="minorHAnsi"/>
          <w:sz w:val="22"/>
          <w:szCs w:val="22"/>
        </w:rPr>
        <w:t>Software Development Life Cycle Methodology/ Project Management</w:t>
      </w:r>
    </w:p>
    <w:p w14:paraId="4F9F10F0" w14:textId="77777777" w:rsidR="00A66963" w:rsidRPr="009E1D18" w:rsidRDefault="00A66963" w:rsidP="00A66963">
      <w:pPr>
        <w:pStyle w:val="Default"/>
        <w:numPr>
          <w:ilvl w:val="0"/>
          <w:numId w:val="18"/>
        </w:numPr>
        <w:rPr>
          <w:rFonts w:asciiTheme="minorHAnsi" w:hAnsiTheme="minorHAnsi" w:cstheme="minorHAnsi"/>
          <w:sz w:val="22"/>
          <w:szCs w:val="22"/>
        </w:rPr>
      </w:pPr>
      <w:r w:rsidRPr="009E1D18">
        <w:rPr>
          <w:rFonts w:asciiTheme="minorHAnsi" w:hAnsiTheme="minorHAnsi" w:cstheme="minorHAnsi"/>
          <w:sz w:val="22"/>
          <w:szCs w:val="22"/>
        </w:rPr>
        <w:t>Quality Assurance/Control Practices</w:t>
      </w:r>
    </w:p>
    <w:p w14:paraId="2459A6B9" w14:textId="77777777" w:rsidR="00A66963" w:rsidRPr="009E1D18" w:rsidRDefault="00A66963" w:rsidP="00A66963">
      <w:pPr>
        <w:pStyle w:val="Default"/>
        <w:numPr>
          <w:ilvl w:val="0"/>
          <w:numId w:val="18"/>
        </w:numPr>
        <w:rPr>
          <w:rFonts w:asciiTheme="minorHAnsi" w:hAnsiTheme="minorHAnsi" w:cstheme="minorHAnsi"/>
          <w:sz w:val="22"/>
          <w:szCs w:val="22"/>
        </w:rPr>
      </w:pPr>
      <w:r w:rsidRPr="009E1D18">
        <w:rPr>
          <w:rFonts w:asciiTheme="minorHAnsi" w:hAnsiTheme="minorHAnsi" w:cstheme="minorHAnsi"/>
          <w:sz w:val="22"/>
          <w:szCs w:val="22"/>
        </w:rPr>
        <w:t>Change and Configuration Management</w:t>
      </w:r>
    </w:p>
    <w:p w14:paraId="1E5DD163" w14:textId="77777777" w:rsidR="00A66963" w:rsidRPr="009E1D18" w:rsidRDefault="00A66963" w:rsidP="00A66963">
      <w:pPr>
        <w:pStyle w:val="Default"/>
        <w:numPr>
          <w:ilvl w:val="0"/>
          <w:numId w:val="18"/>
        </w:numPr>
        <w:rPr>
          <w:rFonts w:asciiTheme="minorHAnsi" w:hAnsiTheme="minorHAnsi" w:cstheme="minorHAnsi"/>
          <w:sz w:val="22"/>
          <w:szCs w:val="22"/>
        </w:rPr>
      </w:pPr>
      <w:r w:rsidRPr="009E1D18">
        <w:rPr>
          <w:rFonts w:asciiTheme="minorHAnsi" w:hAnsiTheme="minorHAnsi" w:cstheme="minorHAnsi"/>
          <w:sz w:val="22"/>
          <w:szCs w:val="22"/>
        </w:rPr>
        <w:t>Error Detection/Problem Resolution (Incident/ Problem Management)</w:t>
      </w:r>
    </w:p>
    <w:p w14:paraId="10369610" w14:textId="77777777" w:rsidR="00A66963" w:rsidRPr="009E1D18" w:rsidRDefault="00A66963" w:rsidP="00A66963">
      <w:pPr>
        <w:pStyle w:val="Default"/>
        <w:numPr>
          <w:ilvl w:val="0"/>
          <w:numId w:val="18"/>
        </w:numPr>
        <w:rPr>
          <w:rFonts w:asciiTheme="minorHAnsi" w:hAnsiTheme="minorHAnsi" w:cstheme="minorHAnsi"/>
          <w:sz w:val="22"/>
          <w:szCs w:val="22"/>
        </w:rPr>
      </w:pPr>
      <w:r w:rsidRPr="009E1D18">
        <w:rPr>
          <w:rFonts w:asciiTheme="minorHAnsi" w:hAnsiTheme="minorHAnsi" w:cstheme="minorHAnsi"/>
          <w:sz w:val="22"/>
          <w:szCs w:val="22"/>
        </w:rPr>
        <w:t>Backup/Restore</w:t>
      </w:r>
    </w:p>
    <w:p w14:paraId="1927A826" w14:textId="77777777" w:rsidR="00A66963" w:rsidRDefault="00A66963" w:rsidP="00A66963">
      <w:pPr>
        <w:pStyle w:val="Default"/>
        <w:numPr>
          <w:ilvl w:val="0"/>
          <w:numId w:val="18"/>
        </w:numPr>
        <w:rPr>
          <w:rFonts w:cstheme="minorHAnsi"/>
        </w:rPr>
      </w:pPr>
      <w:r w:rsidRPr="009E1D18">
        <w:rPr>
          <w:rFonts w:asciiTheme="minorHAnsi" w:hAnsiTheme="minorHAnsi" w:cstheme="minorHAnsi"/>
          <w:sz w:val="22"/>
          <w:szCs w:val="22"/>
        </w:rPr>
        <w:t>Performance</w:t>
      </w:r>
      <w:r w:rsidRPr="00D9309A">
        <w:rPr>
          <w:rFonts w:cstheme="minorHAnsi"/>
        </w:rPr>
        <w:t xml:space="preserve"> Monitoring</w:t>
      </w:r>
      <w:r>
        <w:rPr>
          <w:rFonts w:cstheme="minorHAnsi"/>
        </w:rPr>
        <w:t>.</w:t>
      </w:r>
    </w:p>
    <w:p w14:paraId="780EA6F6" w14:textId="77777777" w:rsidR="006A0174" w:rsidRDefault="006A0174" w:rsidP="00B86B39">
      <w:pPr>
        <w:pStyle w:val="BodyText"/>
        <w:ind w:left="720"/>
        <w:jc w:val="both"/>
        <w:rPr>
          <w:rFonts w:cstheme="minorHAnsi"/>
          <w:u w:val="single"/>
        </w:rPr>
      </w:pPr>
    </w:p>
    <w:p w14:paraId="0EB50961" w14:textId="560611B7" w:rsidR="00B86B39" w:rsidRPr="00B86B39" w:rsidRDefault="00A66963" w:rsidP="00B86B39">
      <w:pPr>
        <w:pStyle w:val="BodyText"/>
        <w:ind w:left="720"/>
        <w:jc w:val="both"/>
        <w:rPr>
          <w:rFonts w:cstheme="minorHAnsi"/>
        </w:rPr>
      </w:pPr>
      <w:r w:rsidRPr="00C610EE">
        <w:rPr>
          <w:rFonts w:cstheme="minorHAnsi"/>
          <w:u w:val="single"/>
        </w:rPr>
        <w:t>Effectiveness of Controls and Auditing</w:t>
      </w:r>
      <w:r w:rsidR="00ED5999">
        <w:rPr>
          <w:rFonts w:cstheme="minorHAnsi"/>
        </w:rPr>
        <w:t xml:space="preserve"> </w:t>
      </w:r>
      <w:r>
        <w:rPr>
          <w:rFonts w:cstheme="minorHAnsi"/>
        </w:rPr>
        <w:t xml:space="preserve">- </w:t>
      </w:r>
      <w:r w:rsidR="00B86B39" w:rsidRPr="00B86B39">
        <w:rPr>
          <w:rFonts w:cstheme="minorHAnsi"/>
        </w:rPr>
        <w:t xml:space="preserve">Regulatory authorities, partners, and clients may perform audits of </w:t>
      </w:r>
      <w:proofErr w:type="spellStart"/>
      <w:r w:rsidR="00B86B39" w:rsidRPr="00B86B39">
        <w:rPr>
          <w:rFonts w:cstheme="minorHAnsi"/>
        </w:rPr>
        <w:t>GxP</w:t>
      </w:r>
      <w:proofErr w:type="spellEnd"/>
      <w:r w:rsidR="00B86B39" w:rsidRPr="00B86B39">
        <w:rPr>
          <w:rFonts w:cstheme="minorHAnsi"/>
        </w:rPr>
        <w:t xml:space="preserve"> systems to ensure compliance. By the nature of cloud computing technology, physical </w:t>
      </w:r>
      <w:r w:rsidR="00593576" w:rsidRPr="00593576">
        <w:rPr>
          <w:rFonts w:cstheme="minorHAnsi"/>
        </w:rPr>
        <w:t xml:space="preserve">audits of </w:t>
      </w:r>
      <w:r w:rsidR="00B86B39" w:rsidRPr="00B86B39">
        <w:rPr>
          <w:rFonts w:cstheme="minorHAnsi"/>
        </w:rPr>
        <w:t>computing resources managed by a cloud service loses its value as there are no dedicated physical computing resources.</w:t>
      </w:r>
    </w:p>
    <w:p w14:paraId="52357DAB" w14:textId="4C7937F8" w:rsidR="00B86B39" w:rsidRPr="00B86B39" w:rsidRDefault="00B86B39" w:rsidP="00B86B39">
      <w:pPr>
        <w:pStyle w:val="BodyText"/>
        <w:ind w:left="720"/>
        <w:jc w:val="both"/>
        <w:rPr>
          <w:rFonts w:cstheme="minorHAnsi"/>
        </w:rPr>
      </w:pPr>
      <w:r w:rsidRPr="00B86B39">
        <w:rPr>
          <w:rFonts w:cstheme="minorHAnsi"/>
        </w:rPr>
        <w:t xml:space="preserve">The fact that physical resources cannot be visually inspected does not mean there is nothing to inspect. Periodic or continuous review of control objectives may replace this </w:t>
      </w:r>
      <w:r w:rsidR="00E5341A" w:rsidRPr="00B86B39">
        <w:rPr>
          <w:rFonts w:cstheme="minorHAnsi"/>
        </w:rPr>
        <w:t>activity and</w:t>
      </w:r>
      <w:r w:rsidRPr="00B86B39">
        <w:rPr>
          <w:rFonts w:cstheme="minorHAnsi"/>
        </w:rPr>
        <w:t xml:space="preserve"> provide significant benefit.  In accordance with supplier contracts and agreements, a periodic review may include external or </w:t>
      </w:r>
      <w:r w:rsidR="00E5341A" w:rsidRPr="00B86B39">
        <w:rPr>
          <w:rFonts w:cstheme="minorHAnsi"/>
        </w:rPr>
        <w:t>third-party</w:t>
      </w:r>
      <w:r w:rsidRPr="00B86B39">
        <w:rPr>
          <w:rFonts w:cstheme="minorHAnsi"/>
        </w:rPr>
        <w:t xml:space="preserve"> assessments of the provider in addition to the assessments conducted by the customer (</w:t>
      </w:r>
      <w:r w:rsidR="005F386A" w:rsidRPr="00B86B39">
        <w:rPr>
          <w:rFonts w:cstheme="minorHAnsi"/>
        </w:rPr>
        <w:t>i.e.,</w:t>
      </w:r>
      <w:r w:rsidRPr="00B86B39">
        <w:rPr>
          <w:rFonts w:cstheme="minorHAnsi"/>
        </w:rPr>
        <w:t xml:space="preserve"> IT Practices, Information Risk, and Privacy). </w:t>
      </w:r>
    </w:p>
    <w:p w14:paraId="6922E222" w14:textId="77777777" w:rsidR="00B86B39" w:rsidRDefault="00B86B39" w:rsidP="00B86B39">
      <w:pPr>
        <w:pStyle w:val="BodyText"/>
        <w:ind w:left="720"/>
        <w:jc w:val="both"/>
        <w:rPr>
          <w:rFonts w:cstheme="minorHAnsi"/>
        </w:rPr>
      </w:pPr>
      <w:r w:rsidRPr="00B86B39">
        <w:rPr>
          <w:rFonts w:cstheme="minorHAnsi"/>
        </w:rPr>
        <w:t>A cloud customer or broker may periodically review materials provided by the cloud provider such as</w:t>
      </w:r>
      <w:r>
        <w:rPr>
          <w:rFonts w:cstheme="minorHAnsi"/>
        </w:rPr>
        <w:t>:</w:t>
      </w:r>
    </w:p>
    <w:p w14:paraId="7A4A2A75" w14:textId="77777777" w:rsidR="00B86B39" w:rsidRPr="00B86B39" w:rsidRDefault="00B86B39" w:rsidP="00B86B39">
      <w:pPr>
        <w:pStyle w:val="BodyText"/>
        <w:numPr>
          <w:ilvl w:val="0"/>
          <w:numId w:val="29"/>
        </w:numPr>
        <w:jc w:val="both"/>
        <w:rPr>
          <w:rFonts w:cstheme="minorHAnsi"/>
        </w:rPr>
      </w:pPr>
      <w:r w:rsidRPr="00B86B39">
        <w:rPr>
          <w:rFonts w:cstheme="minorHAnsi"/>
        </w:rPr>
        <w:t>Performance Monitoring Indicators and related support cases and incidents.</w:t>
      </w:r>
    </w:p>
    <w:p w14:paraId="0A4BD13B" w14:textId="77777777" w:rsidR="00B86B39" w:rsidRPr="00B86B39" w:rsidRDefault="00B86B39" w:rsidP="00B86B39">
      <w:pPr>
        <w:pStyle w:val="BodyText"/>
        <w:numPr>
          <w:ilvl w:val="0"/>
          <w:numId w:val="29"/>
        </w:numPr>
        <w:jc w:val="both"/>
        <w:rPr>
          <w:rFonts w:cstheme="minorHAnsi"/>
        </w:rPr>
      </w:pPr>
      <w:r w:rsidRPr="00B86B39">
        <w:rPr>
          <w:rFonts w:cstheme="minorHAnsi"/>
        </w:rPr>
        <w:t>3rd Party Independent Audits</w:t>
      </w:r>
    </w:p>
    <w:p w14:paraId="19A66854" w14:textId="77777777" w:rsidR="00B86B39" w:rsidRPr="00B86B39" w:rsidRDefault="00B86B39" w:rsidP="00B86B39">
      <w:pPr>
        <w:pStyle w:val="BodyText"/>
        <w:numPr>
          <w:ilvl w:val="0"/>
          <w:numId w:val="29"/>
        </w:numPr>
        <w:jc w:val="both"/>
        <w:rPr>
          <w:rFonts w:cstheme="minorHAnsi"/>
        </w:rPr>
      </w:pPr>
      <w:r w:rsidRPr="00B86B39">
        <w:rPr>
          <w:rFonts w:cstheme="minorHAnsi"/>
        </w:rPr>
        <w:t>Industry Certifications</w:t>
      </w:r>
    </w:p>
    <w:p w14:paraId="1FFD1238" w14:textId="77777777" w:rsidR="00A66963" w:rsidRPr="00B86B39" w:rsidRDefault="00B86B39" w:rsidP="00B86B39">
      <w:pPr>
        <w:pStyle w:val="BodyText"/>
        <w:numPr>
          <w:ilvl w:val="0"/>
          <w:numId w:val="29"/>
        </w:numPr>
        <w:jc w:val="both"/>
        <w:rPr>
          <w:rFonts w:cstheme="minorHAnsi"/>
        </w:rPr>
      </w:pPr>
      <w:r w:rsidRPr="00B86B39">
        <w:rPr>
          <w:rFonts w:cstheme="minorHAnsi"/>
        </w:rPr>
        <w:t>Quality Manual</w:t>
      </w:r>
    </w:p>
    <w:p w14:paraId="781269AC" w14:textId="77777777" w:rsidR="005F386A" w:rsidRDefault="005F386A" w:rsidP="00FE13CF">
      <w:pPr>
        <w:pStyle w:val="BodyText"/>
        <w:ind w:left="720"/>
        <w:jc w:val="both"/>
        <w:rPr>
          <w:rFonts w:cstheme="minorHAnsi"/>
        </w:rPr>
      </w:pPr>
    </w:p>
    <w:p w14:paraId="65B5CDD1" w14:textId="0CF6EDEE" w:rsidR="00C64F21" w:rsidRDefault="00B86B39" w:rsidP="00FE13CF">
      <w:pPr>
        <w:pStyle w:val="BodyText"/>
        <w:ind w:left="720"/>
        <w:jc w:val="both"/>
        <w:rPr>
          <w:rFonts w:cstheme="minorHAnsi"/>
        </w:rPr>
      </w:pPr>
      <w:r w:rsidRPr="00B86B39">
        <w:rPr>
          <w:rFonts w:cstheme="minorHAnsi"/>
        </w:rPr>
        <w:t>In addition, continuous or semi-continuous review of control objectives may include monitoring and alerting of the cloud environment, including such measures as application performance, unusual patterns of data access, or daily verification of accounts against configured policies.</w:t>
      </w:r>
    </w:p>
    <w:p w14:paraId="0AA5B447" w14:textId="3950B86C" w:rsidR="00F167B3" w:rsidRPr="002E79F2" w:rsidRDefault="00F167B3" w:rsidP="0014128B">
      <w:pPr>
        <w:pStyle w:val="BodyText"/>
        <w:ind w:left="720"/>
        <w:jc w:val="both"/>
        <w:rPr>
          <w:rFonts w:cstheme="minorHAnsi"/>
        </w:rPr>
      </w:pPr>
      <w:r w:rsidRPr="00AD0FDA">
        <w:rPr>
          <w:rFonts w:cstheme="minorHAnsi"/>
          <w:u w:val="single"/>
        </w:rPr>
        <w:t>Procurement/Contracts</w:t>
      </w:r>
      <w:r>
        <w:rPr>
          <w:rFonts w:cstheme="minorHAnsi"/>
        </w:rPr>
        <w:t xml:space="preserve"> – Procurement departments take on an important role in establishing a commercial relationship between companies, negotiating costs, and formalizing legally binding contracts.  A key item will be establishing the</w:t>
      </w:r>
      <w:r w:rsidRPr="00FC3558">
        <w:rPr>
          <w:rFonts w:cstheme="minorHAnsi"/>
        </w:rPr>
        <w:t xml:space="preserve"> formal </w:t>
      </w:r>
      <w:r w:rsidRPr="0014128B">
        <w:rPr>
          <w:rFonts w:cstheme="minorHAnsi"/>
        </w:rPr>
        <w:t xml:space="preserve">contract between the </w:t>
      </w:r>
      <w:r w:rsidR="002543FE" w:rsidRPr="0014128B">
        <w:rPr>
          <w:rFonts w:cstheme="minorHAnsi"/>
        </w:rPr>
        <w:t>Cloud Service Brokers</w:t>
      </w:r>
      <w:r w:rsidR="00C740DF" w:rsidRPr="0014128B">
        <w:rPr>
          <w:rFonts w:cstheme="minorHAnsi"/>
        </w:rPr>
        <w:t xml:space="preserve"> and </w:t>
      </w:r>
      <w:r w:rsidR="002543FE" w:rsidRPr="0014128B">
        <w:rPr>
          <w:rFonts w:cstheme="minorHAnsi"/>
        </w:rPr>
        <w:t>Cloud Service Providers</w:t>
      </w:r>
      <w:r w:rsidR="00C740DF" w:rsidRPr="0014128B">
        <w:rPr>
          <w:rFonts w:cstheme="minorHAnsi"/>
        </w:rPr>
        <w:t xml:space="preserve"> </w:t>
      </w:r>
      <w:r w:rsidRPr="0014128B">
        <w:rPr>
          <w:rFonts w:cstheme="minorHAnsi"/>
        </w:rPr>
        <w:t xml:space="preserve">and </w:t>
      </w:r>
      <w:r w:rsidR="0014128B" w:rsidRPr="0014128B">
        <w:rPr>
          <w:rFonts w:cstheme="minorHAnsi"/>
        </w:rPr>
        <w:t>Cloud Service C</w:t>
      </w:r>
      <w:r w:rsidR="00C740DF" w:rsidRPr="0014128B">
        <w:rPr>
          <w:rFonts w:cstheme="minorHAnsi"/>
        </w:rPr>
        <w:t xml:space="preserve">ustomer </w:t>
      </w:r>
      <w:r w:rsidRPr="0014128B">
        <w:rPr>
          <w:rFonts w:cstheme="minorHAnsi"/>
        </w:rPr>
        <w:t xml:space="preserve">known as the underpinning </w:t>
      </w:r>
      <w:r w:rsidR="00E5341A" w:rsidRPr="0014128B">
        <w:rPr>
          <w:rFonts w:cstheme="minorHAnsi"/>
        </w:rPr>
        <w:t>contract and</w:t>
      </w:r>
      <w:r w:rsidRPr="0014128B">
        <w:rPr>
          <w:rFonts w:cstheme="minorHAnsi"/>
        </w:rPr>
        <w:t xml:space="preserve"> described in the next section.</w:t>
      </w:r>
      <w:r w:rsidR="006E5B4E" w:rsidRPr="0014128B">
        <w:rPr>
          <w:rFonts w:cstheme="minorHAnsi"/>
        </w:rPr>
        <w:t xml:space="preserve">  It should be noted that most of this activity is norma</w:t>
      </w:r>
      <w:r w:rsidR="0014128B" w:rsidRPr="0014128B">
        <w:rPr>
          <w:rFonts w:cstheme="minorHAnsi"/>
        </w:rPr>
        <w:t>lly outside of the SDLC policy; for example, e</w:t>
      </w:r>
      <w:r w:rsidR="006E5B4E" w:rsidRPr="0014128B">
        <w:rPr>
          <w:rFonts w:cstheme="minorHAnsi"/>
        </w:rPr>
        <w:t xml:space="preserve">xcluded from SDLC would be assessment and </w:t>
      </w:r>
      <w:r w:rsidR="00FA5A1E" w:rsidRPr="0014128B">
        <w:rPr>
          <w:rFonts w:cstheme="minorHAnsi"/>
        </w:rPr>
        <w:t>management of</w:t>
      </w:r>
      <w:r w:rsidR="006E5B4E" w:rsidRPr="0014128B">
        <w:rPr>
          <w:rFonts w:cstheme="minorHAnsi"/>
        </w:rPr>
        <w:t xml:space="preserve"> commercial terms such as Insurance, Intellectual Property</w:t>
      </w:r>
      <w:r w:rsidR="006E5B4E">
        <w:rPr>
          <w:rFonts w:cstheme="minorHAnsi"/>
        </w:rPr>
        <w:t xml:space="preserve">, Dispute Resolution, </w:t>
      </w:r>
      <w:r w:rsidR="006E5B4E" w:rsidRPr="006E5B4E">
        <w:rPr>
          <w:rFonts w:cstheme="minorHAnsi"/>
        </w:rPr>
        <w:t>Payment terms, etc.</w:t>
      </w:r>
    </w:p>
    <w:p w14:paraId="1201CA1C" w14:textId="77777777" w:rsidR="00F26631" w:rsidRDefault="00F167B3" w:rsidP="00721F2E">
      <w:pPr>
        <w:pStyle w:val="BodyText"/>
        <w:ind w:left="720"/>
        <w:jc w:val="both"/>
      </w:pPr>
      <w:r w:rsidRPr="00AD0FDA">
        <w:rPr>
          <w:rFonts w:cstheme="minorHAnsi"/>
          <w:u w:val="single"/>
        </w:rPr>
        <w:t>Supplier Agreements</w:t>
      </w:r>
      <w:r>
        <w:rPr>
          <w:rFonts w:cstheme="minorHAnsi"/>
        </w:rPr>
        <w:t xml:space="preserve"> - </w:t>
      </w:r>
      <w:r>
        <w:t xml:space="preserve">Clear understanding of service commitments and responsibilities are required throughout all cloud systems and services to ensure proper support and use of business processes, and </w:t>
      </w:r>
      <w:r w:rsidR="00721F2E">
        <w:t>the</w:t>
      </w:r>
      <w:r>
        <w:t xml:space="preserve"> expectation</w:t>
      </w:r>
      <w:r w:rsidR="00721F2E">
        <w:t>s</w:t>
      </w:r>
      <w:r>
        <w:t xml:space="preserve"> of regulatory </w:t>
      </w:r>
      <w:r w:rsidRPr="00721F2E">
        <w:t xml:space="preserve">agencies.  This is important in the adoption of cloud due to the complex nature and interdependence of </w:t>
      </w:r>
      <w:r w:rsidR="00721F2E" w:rsidRPr="00721F2E">
        <w:t>Cloud Service C</w:t>
      </w:r>
      <w:r w:rsidR="00461453" w:rsidRPr="00721F2E">
        <w:t>ustomer</w:t>
      </w:r>
      <w:r w:rsidR="00721F2E" w:rsidRPr="00721F2E">
        <w:t>s</w:t>
      </w:r>
      <w:r w:rsidRPr="00721F2E">
        <w:t xml:space="preserve">, </w:t>
      </w:r>
      <w:r w:rsidR="002543FE" w:rsidRPr="00721F2E">
        <w:t xml:space="preserve">Cloud Service </w:t>
      </w:r>
      <w:proofErr w:type="gramStart"/>
      <w:r w:rsidR="002543FE" w:rsidRPr="00721F2E">
        <w:t>Brokers</w:t>
      </w:r>
      <w:proofErr w:type="gramEnd"/>
      <w:r w:rsidR="00461453" w:rsidRPr="00721F2E">
        <w:t xml:space="preserve"> and </w:t>
      </w:r>
      <w:r w:rsidR="002543FE" w:rsidRPr="00721F2E">
        <w:t>Cloud Service Providers</w:t>
      </w:r>
      <w:r w:rsidRPr="00721F2E">
        <w:t xml:space="preserve">.  This understanding is required for effective functioning and compliance of business operations via the cloud systems and services.  In addition, as mentioned, </w:t>
      </w:r>
      <w:r w:rsidR="00F26631" w:rsidRPr="00721F2E">
        <w:t>third parties operate much of the overall cloud solution</w:t>
      </w:r>
      <w:r>
        <w:t xml:space="preserve">.  </w:t>
      </w:r>
    </w:p>
    <w:p w14:paraId="69B33E21" w14:textId="77777777" w:rsidR="00F167B3" w:rsidRDefault="00F167B3" w:rsidP="00721F2E">
      <w:pPr>
        <w:pStyle w:val="BodyText"/>
        <w:ind w:left="720"/>
        <w:jc w:val="both"/>
      </w:pPr>
      <w:r>
        <w:t xml:space="preserve">Agreements to define this understanding are essential to support these interactions. </w:t>
      </w:r>
      <w:r w:rsidR="004F5D28" w:rsidRPr="004F5D28">
        <w:t xml:space="preserve">The requirements around the agreements need to consider the customer’s desired outcomes, including functionality and service/operational level targets. </w:t>
      </w:r>
      <w:r>
        <w:t>These agreements and requirements may fall into the following categories</w:t>
      </w:r>
      <w:r w:rsidR="00674852">
        <w:t>:</w:t>
      </w:r>
      <w:r w:rsidR="00755374">
        <w:t xml:space="preserve"> </w:t>
      </w:r>
    </w:p>
    <w:p w14:paraId="1C636D67" w14:textId="77777777" w:rsidR="00F167B3" w:rsidRPr="009E1D18" w:rsidRDefault="00F167B3" w:rsidP="00670620">
      <w:pPr>
        <w:pStyle w:val="Default"/>
        <w:numPr>
          <w:ilvl w:val="0"/>
          <w:numId w:val="18"/>
        </w:numPr>
        <w:rPr>
          <w:rFonts w:asciiTheme="minorHAnsi" w:hAnsiTheme="minorHAnsi" w:cstheme="minorHAnsi"/>
          <w:sz w:val="22"/>
          <w:szCs w:val="22"/>
        </w:rPr>
      </w:pPr>
      <w:r>
        <w:t xml:space="preserve">Service </w:t>
      </w:r>
      <w:r w:rsidRPr="009E1D18">
        <w:rPr>
          <w:rFonts w:asciiTheme="minorHAnsi" w:hAnsiTheme="minorHAnsi" w:cstheme="minorHAnsi"/>
          <w:sz w:val="22"/>
          <w:szCs w:val="22"/>
        </w:rPr>
        <w:t xml:space="preserve">Level Requirements – The clients’ desired outcomes, including functionality and service level targets.  These service targets define the individual level of service to achieve which may include terms and conditions, goals, </w:t>
      </w:r>
      <w:proofErr w:type="gramStart"/>
      <w:r w:rsidRPr="009E1D18">
        <w:rPr>
          <w:rFonts w:asciiTheme="minorHAnsi" w:hAnsiTheme="minorHAnsi" w:cstheme="minorHAnsi"/>
          <w:sz w:val="22"/>
          <w:szCs w:val="22"/>
        </w:rPr>
        <w:t>costs</w:t>
      </w:r>
      <w:proofErr w:type="gramEnd"/>
      <w:r w:rsidRPr="009E1D18">
        <w:rPr>
          <w:rFonts w:asciiTheme="minorHAnsi" w:hAnsiTheme="minorHAnsi" w:cstheme="minorHAnsi"/>
          <w:sz w:val="22"/>
          <w:szCs w:val="22"/>
        </w:rPr>
        <w:t xml:space="preserve"> and milestones.  They also define the impact cost of missed targets and can </w:t>
      </w:r>
      <w:r w:rsidR="00461453" w:rsidRPr="009E1D18">
        <w:rPr>
          <w:rFonts w:asciiTheme="minorHAnsi" w:hAnsiTheme="minorHAnsi" w:cstheme="minorHAnsi"/>
          <w:sz w:val="22"/>
          <w:szCs w:val="22"/>
        </w:rPr>
        <w:t>be</w:t>
      </w:r>
      <w:r w:rsidRPr="009E1D18">
        <w:rPr>
          <w:rFonts w:asciiTheme="minorHAnsi" w:hAnsiTheme="minorHAnsi" w:cstheme="minorHAnsi"/>
          <w:sz w:val="22"/>
          <w:szCs w:val="22"/>
        </w:rPr>
        <w:t xml:space="preserve"> related to Service Level Agreements (SLA’s), Operational Level Agreements (OLA’s) or Contracts.</w:t>
      </w:r>
    </w:p>
    <w:p w14:paraId="2D68D419" w14:textId="77777777" w:rsidR="00F167B3" w:rsidRPr="009E1D18" w:rsidRDefault="00F167B3" w:rsidP="00670620">
      <w:pPr>
        <w:pStyle w:val="Default"/>
        <w:numPr>
          <w:ilvl w:val="0"/>
          <w:numId w:val="18"/>
        </w:numPr>
        <w:rPr>
          <w:rFonts w:asciiTheme="minorHAnsi" w:hAnsiTheme="minorHAnsi" w:cstheme="minorHAnsi"/>
          <w:sz w:val="22"/>
          <w:szCs w:val="22"/>
        </w:rPr>
      </w:pPr>
      <w:r w:rsidRPr="009E1D18">
        <w:rPr>
          <w:rFonts w:asciiTheme="minorHAnsi" w:hAnsiTheme="minorHAnsi" w:cstheme="minorHAnsi"/>
          <w:sz w:val="22"/>
          <w:szCs w:val="22"/>
        </w:rPr>
        <w:t>Service Level Agreements (SLA) – Agreements between the customer and manager/provider defining key service targets and responsibilities.</w:t>
      </w:r>
    </w:p>
    <w:p w14:paraId="299D8818" w14:textId="77777777" w:rsidR="00F167B3" w:rsidRPr="009E1D18" w:rsidRDefault="00F167B3" w:rsidP="00670620">
      <w:pPr>
        <w:pStyle w:val="Default"/>
        <w:numPr>
          <w:ilvl w:val="0"/>
          <w:numId w:val="18"/>
        </w:numPr>
        <w:rPr>
          <w:rFonts w:asciiTheme="minorHAnsi" w:hAnsiTheme="minorHAnsi" w:cstheme="minorHAnsi"/>
          <w:sz w:val="22"/>
          <w:szCs w:val="22"/>
        </w:rPr>
      </w:pPr>
      <w:r w:rsidRPr="009E1D18">
        <w:rPr>
          <w:rFonts w:asciiTheme="minorHAnsi" w:hAnsiTheme="minorHAnsi" w:cstheme="minorHAnsi"/>
          <w:sz w:val="22"/>
          <w:szCs w:val="22"/>
        </w:rPr>
        <w:t>Operational Level Agreement (OLA) – Agreements between internal customer and/or manager functions and the provider that defines the working relationship and expectations in support of the SLA.</w:t>
      </w:r>
    </w:p>
    <w:p w14:paraId="1B7ABF5D" w14:textId="77777777" w:rsidR="00F167B3" w:rsidRDefault="00F167B3" w:rsidP="00670620">
      <w:pPr>
        <w:pStyle w:val="Default"/>
        <w:numPr>
          <w:ilvl w:val="0"/>
          <w:numId w:val="18"/>
        </w:numPr>
        <w:rPr>
          <w:rFonts w:cstheme="minorHAnsi"/>
        </w:rPr>
      </w:pPr>
      <w:r w:rsidRPr="009E1D18">
        <w:rPr>
          <w:rFonts w:asciiTheme="minorHAnsi" w:hAnsiTheme="minorHAnsi" w:cstheme="minorHAnsi"/>
          <w:sz w:val="22"/>
          <w:szCs w:val="22"/>
        </w:rPr>
        <w:t xml:space="preserve">Underpinning Contracts (UC) – A formal contract between the </w:t>
      </w:r>
      <w:r w:rsidR="00721F2E" w:rsidRPr="009E1D18">
        <w:rPr>
          <w:rFonts w:asciiTheme="minorHAnsi" w:hAnsiTheme="minorHAnsi" w:cstheme="minorHAnsi"/>
          <w:sz w:val="22"/>
          <w:szCs w:val="22"/>
        </w:rPr>
        <w:t>Cloud Service C</w:t>
      </w:r>
      <w:r w:rsidR="00883563" w:rsidRPr="009E1D18">
        <w:rPr>
          <w:rFonts w:asciiTheme="minorHAnsi" w:hAnsiTheme="minorHAnsi" w:cstheme="minorHAnsi"/>
          <w:sz w:val="22"/>
          <w:szCs w:val="22"/>
        </w:rPr>
        <w:t>ustomer/</w:t>
      </w:r>
      <w:r w:rsidR="002543FE" w:rsidRPr="009E1D18">
        <w:rPr>
          <w:rFonts w:asciiTheme="minorHAnsi" w:hAnsiTheme="minorHAnsi" w:cstheme="minorHAnsi"/>
          <w:sz w:val="22"/>
          <w:szCs w:val="22"/>
        </w:rPr>
        <w:t>Cloud Service Broker</w:t>
      </w:r>
      <w:r w:rsidR="00883563" w:rsidRPr="009E1D18">
        <w:rPr>
          <w:rFonts w:asciiTheme="minorHAnsi" w:hAnsiTheme="minorHAnsi" w:cstheme="minorHAnsi"/>
          <w:sz w:val="22"/>
          <w:szCs w:val="22"/>
        </w:rPr>
        <w:t>(</w:t>
      </w:r>
      <w:r w:rsidR="002543FE" w:rsidRPr="009E1D18">
        <w:rPr>
          <w:rFonts w:asciiTheme="minorHAnsi" w:hAnsiTheme="minorHAnsi" w:cstheme="minorHAnsi"/>
          <w:sz w:val="22"/>
          <w:szCs w:val="22"/>
        </w:rPr>
        <w:t>s</w:t>
      </w:r>
      <w:r w:rsidR="00883563" w:rsidRPr="009E1D18">
        <w:rPr>
          <w:rFonts w:asciiTheme="minorHAnsi" w:hAnsiTheme="minorHAnsi" w:cstheme="minorHAnsi"/>
          <w:sz w:val="22"/>
          <w:szCs w:val="22"/>
        </w:rPr>
        <w:t>)</w:t>
      </w:r>
      <w:r w:rsidR="00721F2E" w:rsidRPr="009E1D18">
        <w:rPr>
          <w:rFonts w:asciiTheme="minorHAnsi" w:hAnsiTheme="minorHAnsi" w:cstheme="minorHAnsi"/>
          <w:sz w:val="22"/>
          <w:szCs w:val="22"/>
        </w:rPr>
        <w:t xml:space="preserve"> and the</w:t>
      </w:r>
      <w:r w:rsidR="00461453" w:rsidRPr="009E1D18">
        <w:rPr>
          <w:rFonts w:asciiTheme="minorHAnsi" w:hAnsiTheme="minorHAnsi" w:cstheme="minorHAnsi"/>
          <w:sz w:val="22"/>
          <w:szCs w:val="22"/>
        </w:rPr>
        <w:t xml:space="preserve"> </w:t>
      </w:r>
      <w:r w:rsidR="002543FE" w:rsidRPr="009E1D18">
        <w:rPr>
          <w:rFonts w:asciiTheme="minorHAnsi" w:hAnsiTheme="minorHAnsi" w:cstheme="minorHAnsi"/>
          <w:sz w:val="22"/>
          <w:szCs w:val="22"/>
        </w:rPr>
        <w:t>Cloud Service Pro</w:t>
      </w:r>
      <w:r w:rsidR="00721F2E" w:rsidRPr="009E1D18">
        <w:rPr>
          <w:rFonts w:asciiTheme="minorHAnsi" w:hAnsiTheme="minorHAnsi" w:cstheme="minorHAnsi"/>
          <w:sz w:val="22"/>
          <w:szCs w:val="22"/>
        </w:rPr>
        <w:t>vider</w:t>
      </w:r>
      <w:r w:rsidR="00883563" w:rsidRPr="009E1D18">
        <w:rPr>
          <w:rFonts w:asciiTheme="minorHAnsi" w:hAnsiTheme="minorHAnsi" w:cstheme="minorHAnsi"/>
          <w:sz w:val="22"/>
          <w:szCs w:val="22"/>
        </w:rPr>
        <w:t>(s)</w:t>
      </w:r>
      <w:r w:rsidRPr="009E1D18">
        <w:rPr>
          <w:rFonts w:asciiTheme="minorHAnsi" w:hAnsiTheme="minorHAnsi" w:cstheme="minorHAnsi"/>
          <w:sz w:val="22"/>
          <w:szCs w:val="22"/>
        </w:rPr>
        <w:t xml:space="preserve"> that defines key service targets and responsibilities required to meet the SLA.  Terms of the SLA or OLA should remain consistent with any UC’s.  In some cases</w:t>
      </w:r>
      <w:r w:rsidR="00721F2E" w:rsidRPr="009E1D18">
        <w:rPr>
          <w:rFonts w:asciiTheme="minorHAnsi" w:hAnsiTheme="minorHAnsi" w:cstheme="minorHAnsi"/>
          <w:sz w:val="22"/>
          <w:szCs w:val="22"/>
        </w:rPr>
        <w:t>,</w:t>
      </w:r>
      <w:r w:rsidRPr="009E1D18">
        <w:rPr>
          <w:rFonts w:asciiTheme="minorHAnsi" w:hAnsiTheme="minorHAnsi" w:cstheme="minorHAnsi"/>
          <w:sz w:val="22"/>
          <w:szCs w:val="22"/>
        </w:rPr>
        <w:t xml:space="preserve"> the SL</w:t>
      </w:r>
      <w:r w:rsidR="00721F2E" w:rsidRPr="009E1D18">
        <w:rPr>
          <w:rFonts w:asciiTheme="minorHAnsi" w:hAnsiTheme="minorHAnsi" w:cstheme="minorHAnsi"/>
          <w:sz w:val="22"/>
          <w:szCs w:val="22"/>
        </w:rPr>
        <w:t>A and OLA may be part of the UC;</w:t>
      </w:r>
      <w:r w:rsidRPr="009E1D18">
        <w:rPr>
          <w:rFonts w:asciiTheme="minorHAnsi" w:hAnsiTheme="minorHAnsi" w:cstheme="minorHAnsi"/>
          <w:sz w:val="22"/>
          <w:szCs w:val="22"/>
        </w:rPr>
        <w:t xml:space="preserve"> however, how to best structure these agreements will also depend on how the system and service is managed based on the arrangement of the </w:t>
      </w:r>
      <w:r w:rsidR="00721F2E" w:rsidRPr="009E1D18">
        <w:rPr>
          <w:rFonts w:asciiTheme="minorHAnsi" w:hAnsiTheme="minorHAnsi" w:cstheme="minorHAnsi"/>
          <w:sz w:val="22"/>
          <w:szCs w:val="22"/>
        </w:rPr>
        <w:t>Cloud Service C</w:t>
      </w:r>
      <w:r w:rsidR="00461453" w:rsidRPr="009E1D18">
        <w:rPr>
          <w:rFonts w:asciiTheme="minorHAnsi" w:hAnsiTheme="minorHAnsi" w:cstheme="minorHAnsi"/>
          <w:sz w:val="22"/>
          <w:szCs w:val="22"/>
        </w:rPr>
        <w:t xml:space="preserve">ustomer, </w:t>
      </w:r>
      <w:r w:rsidR="002543FE" w:rsidRPr="009E1D18">
        <w:rPr>
          <w:rFonts w:asciiTheme="minorHAnsi" w:hAnsiTheme="minorHAnsi" w:cstheme="minorHAnsi"/>
          <w:sz w:val="22"/>
          <w:szCs w:val="22"/>
        </w:rPr>
        <w:t xml:space="preserve">Cloud Service </w:t>
      </w:r>
      <w:proofErr w:type="gramStart"/>
      <w:r w:rsidR="002543FE" w:rsidRPr="009E1D18">
        <w:rPr>
          <w:rFonts w:asciiTheme="minorHAnsi" w:hAnsiTheme="minorHAnsi" w:cstheme="minorHAnsi"/>
          <w:sz w:val="22"/>
          <w:szCs w:val="22"/>
        </w:rPr>
        <w:t>Brokers</w:t>
      </w:r>
      <w:proofErr w:type="gramEnd"/>
      <w:r w:rsidR="00461453" w:rsidRPr="009E1D18">
        <w:rPr>
          <w:rFonts w:asciiTheme="minorHAnsi" w:hAnsiTheme="minorHAnsi" w:cstheme="minorHAnsi"/>
          <w:sz w:val="22"/>
          <w:szCs w:val="22"/>
        </w:rPr>
        <w:t xml:space="preserve"> and </w:t>
      </w:r>
      <w:r w:rsidR="002543FE" w:rsidRPr="009E1D18">
        <w:rPr>
          <w:rFonts w:asciiTheme="minorHAnsi" w:hAnsiTheme="minorHAnsi" w:cstheme="minorHAnsi"/>
          <w:sz w:val="22"/>
          <w:szCs w:val="22"/>
        </w:rPr>
        <w:t>Cloud Service Providers</w:t>
      </w:r>
      <w:r w:rsidRPr="00721F2E">
        <w:rPr>
          <w:rFonts w:cstheme="minorHAnsi"/>
        </w:rPr>
        <w:t>.</w:t>
      </w:r>
    </w:p>
    <w:p w14:paraId="3DC5B1A3" w14:textId="77777777" w:rsidR="006A0174" w:rsidRDefault="006A0174" w:rsidP="00721F2E">
      <w:pPr>
        <w:pStyle w:val="BodyText"/>
        <w:ind w:left="720"/>
        <w:jc w:val="both"/>
        <w:rPr>
          <w:rFonts w:cstheme="minorHAnsi"/>
        </w:rPr>
      </w:pPr>
    </w:p>
    <w:p w14:paraId="1A7E93D8" w14:textId="77777777" w:rsidR="00F167B3" w:rsidRDefault="00F167B3" w:rsidP="00721F2E">
      <w:pPr>
        <w:pStyle w:val="BodyText"/>
        <w:ind w:left="720"/>
        <w:jc w:val="both"/>
        <w:rPr>
          <w:rFonts w:cstheme="minorHAnsi"/>
        </w:rPr>
      </w:pPr>
      <w:r>
        <w:rPr>
          <w:rFonts w:cstheme="minorHAnsi"/>
        </w:rPr>
        <w:t xml:space="preserve">In general, each agreement would include compliance and service targets, </w:t>
      </w:r>
      <w:proofErr w:type="gramStart"/>
      <w:r>
        <w:rPr>
          <w:rFonts w:cstheme="minorHAnsi"/>
        </w:rPr>
        <w:t>milestones</w:t>
      </w:r>
      <w:proofErr w:type="gramEnd"/>
      <w:r>
        <w:rPr>
          <w:rFonts w:cstheme="minorHAnsi"/>
        </w:rPr>
        <w:t xml:space="preserve"> and actions.</w:t>
      </w:r>
      <w:r w:rsidR="00755374">
        <w:rPr>
          <w:rFonts w:cstheme="minorHAnsi"/>
        </w:rPr>
        <w:t xml:space="preserve">  </w:t>
      </w:r>
      <w:r w:rsidR="00755374">
        <w:t xml:space="preserve">It should be noted that agreement terms </w:t>
      </w:r>
      <w:r w:rsidR="00435F97">
        <w:t xml:space="preserve">specifically </w:t>
      </w:r>
      <w:r w:rsidR="00755374">
        <w:t xml:space="preserve">around </w:t>
      </w:r>
      <w:proofErr w:type="spellStart"/>
      <w:r w:rsidR="00755374">
        <w:t>GxP</w:t>
      </w:r>
      <w:proofErr w:type="spellEnd"/>
      <w:r w:rsidR="00755374">
        <w:t xml:space="preserve"> requirements may be incorporated </w:t>
      </w:r>
      <w:r w:rsidR="00721F2E">
        <w:t xml:space="preserve">into </w:t>
      </w:r>
      <w:r w:rsidR="00755374">
        <w:t>the categories listed above</w:t>
      </w:r>
      <w:r w:rsidR="00435F97">
        <w:t>, or</w:t>
      </w:r>
      <w:r w:rsidR="00755374">
        <w:t xml:space="preserve"> a</w:t>
      </w:r>
      <w:r w:rsidR="00415AA5">
        <w:t>n</w:t>
      </w:r>
      <w:r w:rsidR="00755374">
        <w:t xml:space="preserve"> agreement focused</w:t>
      </w:r>
      <w:r w:rsidR="00435F97">
        <w:t xml:space="preserve"> specifically</w:t>
      </w:r>
      <w:r w:rsidR="00755374">
        <w:t xml:space="preserve"> on </w:t>
      </w:r>
      <w:proofErr w:type="spellStart"/>
      <w:r w:rsidR="00755374">
        <w:t>GxP</w:t>
      </w:r>
      <w:proofErr w:type="spellEnd"/>
      <w:r w:rsidR="00755374">
        <w:t xml:space="preserve"> requirements (i.e.</w:t>
      </w:r>
      <w:r w:rsidR="00721F2E">
        <w:t>,</w:t>
      </w:r>
      <w:r w:rsidR="00755374">
        <w:t xml:space="preserve"> </w:t>
      </w:r>
      <w:r w:rsidR="00721F2E">
        <w:t>“</w:t>
      </w:r>
      <w:r w:rsidR="00755374">
        <w:t>Quality Agreement</w:t>
      </w:r>
      <w:r w:rsidR="00721F2E">
        <w:t>”</w:t>
      </w:r>
      <w:r w:rsidR="006467F8">
        <w:t xml:space="preserve">). </w:t>
      </w:r>
      <w:r>
        <w:rPr>
          <w:rFonts w:cstheme="minorHAnsi"/>
        </w:rPr>
        <w:t xml:space="preserve">A target would include what is measured, including </w:t>
      </w:r>
      <w:r w:rsidR="009C3BBF">
        <w:rPr>
          <w:rFonts w:cstheme="minorHAnsi"/>
        </w:rPr>
        <w:t>criteria.</w:t>
      </w:r>
    </w:p>
    <w:p w14:paraId="04FA7ECB" w14:textId="77777777" w:rsidR="006467F8" w:rsidRDefault="006467F8" w:rsidP="00ED5999">
      <w:pPr>
        <w:pStyle w:val="Heading4"/>
      </w:pPr>
      <w:bookmarkStart w:id="41" w:name="_Toc272518912"/>
      <w:bookmarkStart w:id="42" w:name="_Toc138311615"/>
      <w:r>
        <w:t>Quality Agreement Considerations</w:t>
      </w:r>
      <w:bookmarkEnd w:id="41"/>
      <w:bookmarkEnd w:id="42"/>
    </w:p>
    <w:p w14:paraId="18DEE380" w14:textId="77777777" w:rsidR="006467F8" w:rsidRDefault="006467F8" w:rsidP="006467F8">
      <w:pPr>
        <w:pStyle w:val="BodyText"/>
        <w:jc w:val="both"/>
      </w:pPr>
      <w:r>
        <w:t xml:space="preserve">When Cloud Service </w:t>
      </w:r>
      <w:r w:rsidRPr="00B45AD5">
        <w:t xml:space="preserve">Customers, Cloud Service Brokers and Cloud Service Providers </w:t>
      </w:r>
      <w:proofErr w:type="gramStart"/>
      <w:r w:rsidRPr="00B45AD5">
        <w:t>form</w:t>
      </w:r>
      <w:proofErr w:type="gramEnd"/>
      <w:r w:rsidRPr="00B45AD5">
        <w:t xml:space="preserve"> Agreements they need to consider </w:t>
      </w:r>
      <w:r>
        <w:t>numerous factors in terms of</w:t>
      </w:r>
      <w:r w:rsidRPr="00B45AD5">
        <w:t xml:space="preserve"> </w:t>
      </w:r>
      <w:proofErr w:type="spellStart"/>
      <w:r w:rsidRPr="00B45AD5">
        <w:t>GxP</w:t>
      </w:r>
      <w:proofErr w:type="spellEnd"/>
      <w:r>
        <w:t xml:space="preserve"> compliance in and around the core aspects of:</w:t>
      </w:r>
    </w:p>
    <w:p w14:paraId="39CA705B" w14:textId="77777777" w:rsidR="006467F8" w:rsidRDefault="006467F8" w:rsidP="006467F8">
      <w:pPr>
        <w:pStyle w:val="BodyText"/>
        <w:numPr>
          <w:ilvl w:val="0"/>
          <w:numId w:val="12"/>
        </w:numPr>
        <w:spacing w:after="0"/>
        <w:ind w:hanging="357"/>
      </w:pPr>
      <w:r>
        <w:t>Services scope</w:t>
      </w:r>
    </w:p>
    <w:p w14:paraId="26451825" w14:textId="541E6FB3" w:rsidR="006467F8" w:rsidRDefault="006467F8" w:rsidP="006467F8">
      <w:pPr>
        <w:pStyle w:val="BodyText"/>
        <w:numPr>
          <w:ilvl w:val="0"/>
          <w:numId w:val="12"/>
        </w:numPr>
        <w:spacing w:after="0"/>
        <w:ind w:hanging="357"/>
      </w:pPr>
      <w:r>
        <w:t xml:space="preserve">Defined operational </w:t>
      </w:r>
      <w:r w:rsidR="005800F6">
        <w:t>activities.</w:t>
      </w:r>
    </w:p>
    <w:p w14:paraId="43BC090D" w14:textId="77777777" w:rsidR="006467F8" w:rsidRDefault="006467F8" w:rsidP="006467F8">
      <w:pPr>
        <w:pStyle w:val="BodyText"/>
        <w:numPr>
          <w:ilvl w:val="0"/>
          <w:numId w:val="12"/>
        </w:numPr>
        <w:spacing w:after="0"/>
        <w:ind w:hanging="357"/>
      </w:pPr>
      <w:r>
        <w:t>Roles, Accountabilities and Responsibilities.</w:t>
      </w:r>
    </w:p>
    <w:p w14:paraId="1FB407C0" w14:textId="77777777" w:rsidR="006467F8" w:rsidRDefault="006467F8" w:rsidP="006467F8">
      <w:pPr>
        <w:pStyle w:val="BodyText"/>
        <w:spacing w:after="0"/>
      </w:pPr>
    </w:p>
    <w:p w14:paraId="589A03ED" w14:textId="43CF00A3" w:rsidR="006467F8" w:rsidRDefault="006467F8" w:rsidP="006467F8">
      <w:pPr>
        <w:pStyle w:val="BodyText"/>
        <w:jc w:val="both"/>
      </w:pPr>
      <w:r>
        <w:t>To formulate such agreements, the following checklists of topics should be considered</w:t>
      </w:r>
      <w:r w:rsidR="005800F6">
        <w:t xml:space="preserve"> were possible</w:t>
      </w:r>
      <w:r>
        <w:t>.</w:t>
      </w:r>
    </w:p>
    <w:p w14:paraId="27957743" w14:textId="77777777" w:rsidR="006467F8" w:rsidRPr="006467F8" w:rsidRDefault="006467F8" w:rsidP="006467F8">
      <w:pPr>
        <w:rPr>
          <w:u w:val="single"/>
        </w:rPr>
      </w:pPr>
      <w:r w:rsidRPr="006467F8">
        <w:rPr>
          <w:u w:val="single"/>
        </w:rPr>
        <w:t>Service Description</w:t>
      </w:r>
    </w:p>
    <w:p w14:paraId="2C0D08DA" w14:textId="77777777" w:rsidR="006467F8" w:rsidRPr="00854D1F" w:rsidRDefault="006467F8" w:rsidP="006467F8">
      <w:pPr>
        <w:pStyle w:val="ListParagraph"/>
        <w:numPr>
          <w:ilvl w:val="0"/>
          <w:numId w:val="15"/>
        </w:numPr>
        <w:autoSpaceDE w:val="0"/>
        <w:autoSpaceDN w:val="0"/>
        <w:adjustRightInd w:val="0"/>
        <w:spacing w:after="0" w:line="240" w:lineRule="auto"/>
        <w:jc w:val="both"/>
      </w:pPr>
      <w:r w:rsidRPr="00854D1F">
        <w:t xml:space="preserve">Service Scope – Defines the scope of services covered by the agreement, primary </w:t>
      </w:r>
      <w:proofErr w:type="gramStart"/>
      <w:r w:rsidRPr="00854D1F">
        <w:t>users</w:t>
      </w:r>
      <w:proofErr w:type="gramEnd"/>
      <w:r w:rsidRPr="00854D1F">
        <w:t xml:space="preserve"> and other users.  Service scope may include the </w:t>
      </w:r>
      <w:proofErr w:type="gramStart"/>
      <w:r w:rsidRPr="00854D1F">
        <w:t>following;</w:t>
      </w:r>
      <w:proofErr w:type="gramEnd"/>
    </w:p>
    <w:p w14:paraId="0B195FED"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Change Management</w:t>
      </w:r>
    </w:p>
    <w:p w14:paraId="6781BA92"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Configuration Management</w:t>
      </w:r>
    </w:p>
    <w:p w14:paraId="76DF6B12"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Incident and Problem Management</w:t>
      </w:r>
    </w:p>
    <w:p w14:paraId="741B914A"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Service requests (</w:t>
      </w:r>
      <w:proofErr w:type="gramStart"/>
      <w:r w:rsidRPr="00854D1F">
        <w:t>i.e.</w:t>
      </w:r>
      <w:proofErr w:type="gramEnd"/>
      <w:r w:rsidRPr="00854D1F">
        <w:t xml:space="preserve"> ad-hoc)</w:t>
      </w:r>
    </w:p>
    <w:p w14:paraId="60A1B88B"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System Administration</w:t>
      </w:r>
    </w:p>
    <w:p w14:paraId="3731A5A8"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Security and Account Management</w:t>
      </w:r>
    </w:p>
    <w:p w14:paraId="06ACECDC"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Performance Monitoring – including Corrective and Preventative Actions</w:t>
      </w:r>
    </w:p>
    <w:p w14:paraId="33076AB2"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Maintenance</w:t>
      </w:r>
    </w:p>
    <w:p w14:paraId="3E950009"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Periodic Review - Service level monitoring and review</w:t>
      </w:r>
    </w:p>
    <w:p w14:paraId="752F3D25"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Training</w:t>
      </w:r>
    </w:p>
    <w:p w14:paraId="3049B984"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Testing</w:t>
      </w:r>
    </w:p>
    <w:p w14:paraId="175EC736"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Backup/Restore and Archival/Retrieval</w:t>
      </w:r>
    </w:p>
    <w:p w14:paraId="2A0D1652"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Vendor &amp; Process Quality</w:t>
      </w:r>
    </w:p>
    <w:p w14:paraId="531E0800"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Application Development</w:t>
      </w:r>
    </w:p>
    <w:p w14:paraId="4225DB64" w14:textId="77777777" w:rsidR="006467F8" w:rsidRPr="00854D1F" w:rsidRDefault="006467F8" w:rsidP="006467F8">
      <w:pPr>
        <w:pStyle w:val="ListParagraph"/>
        <w:numPr>
          <w:ilvl w:val="1"/>
          <w:numId w:val="15"/>
        </w:numPr>
        <w:autoSpaceDE w:val="0"/>
        <w:autoSpaceDN w:val="0"/>
        <w:adjustRightInd w:val="0"/>
        <w:spacing w:after="0" w:line="240" w:lineRule="auto"/>
        <w:jc w:val="both"/>
      </w:pPr>
      <w:r w:rsidRPr="00854D1F">
        <w:t>Customization Development</w:t>
      </w:r>
    </w:p>
    <w:p w14:paraId="415E5AAD" w14:textId="77777777" w:rsidR="006467F8" w:rsidRPr="00854D1F" w:rsidRDefault="006467F8" w:rsidP="006467F8">
      <w:pPr>
        <w:pStyle w:val="ListParagraph"/>
        <w:numPr>
          <w:ilvl w:val="0"/>
          <w:numId w:val="15"/>
        </w:numPr>
        <w:autoSpaceDE w:val="0"/>
        <w:autoSpaceDN w:val="0"/>
        <w:adjustRightInd w:val="0"/>
        <w:spacing w:after="0" w:line="240" w:lineRule="auto"/>
        <w:jc w:val="both"/>
      </w:pPr>
      <w:r w:rsidRPr="00854D1F">
        <w:t xml:space="preserve">Solution Scope – Defines the scope of the IT solution including all IT assets including items such as </w:t>
      </w:r>
      <w:proofErr w:type="spellStart"/>
      <w:r w:rsidRPr="00854D1F">
        <w:t>GxP</w:t>
      </w:r>
      <w:proofErr w:type="spellEnd"/>
      <w:r w:rsidRPr="00854D1F">
        <w:t xml:space="preserve"> relevance, Primary Locations, etc.</w:t>
      </w:r>
    </w:p>
    <w:p w14:paraId="5BC98666" w14:textId="77777777" w:rsidR="006467F8" w:rsidRPr="00854D1F" w:rsidRDefault="006467F8" w:rsidP="006467F8">
      <w:pPr>
        <w:autoSpaceDE w:val="0"/>
        <w:autoSpaceDN w:val="0"/>
        <w:adjustRightInd w:val="0"/>
        <w:spacing w:after="0" w:line="240" w:lineRule="auto"/>
        <w:jc w:val="both"/>
      </w:pPr>
    </w:p>
    <w:p w14:paraId="5D35D1F1" w14:textId="77777777" w:rsidR="006467F8" w:rsidRPr="006467F8" w:rsidRDefault="006467F8" w:rsidP="006467F8">
      <w:pPr>
        <w:autoSpaceDE w:val="0"/>
        <w:autoSpaceDN w:val="0"/>
        <w:adjustRightInd w:val="0"/>
        <w:spacing w:after="0" w:line="240" w:lineRule="auto"/>
        <w:jc w:val="both"/>
        <w:rPr>
          <w:u w:val="single"/>
        </w:rPr>
      </w:pPr>
      <w:r w:rsidRPr="006467F8">
        <w:rPr>
          <w:u w:val="single"/>
        </w:rPr>
        <w:t xml:space="preserve">Roles, Responsibilities, and Contacts </w:t>
      </w:r>
    </w:p>
    <w:p w14:paraId="74C3F10D" w14:textId="77777777" w:rsidR="006467F8" w:rsidRPr="00854D1F" w:rsidRDefault="006467F8" w:rsidP="006467F8">
      <w:pPr>
        <w:pStyle w:val="ListParagraph"/>
        <w:numPr>
          <w:ilvl w:val="0"/>
          <w:numId w:val="16"/>
        </w:numPr>
        <w:autoSpaceDE w:val="0"/>
        <w:autoSpaceDN w:val="0"/>
        <w:adjustRightInd w:val="0"/>
        <w:spacing w:after="0" w:line="240" w:lineRule="auto"/>
        <w:jc w:val="both"/>
      </w:pPr>
      <w:r w:rsidRPr="00854D1F">
        <w:t xml:space="preserve">Customer Responsibilities  </w:t>
      </w:r>
    </w:p>
    <w:p w14:paraId="1C036C25" w14:textId="77777777" w:rsidR="006467F8" w:rsidRPr="00854D1F" w:rsidRDefault="006467F8" w:rsidP="006467F8">
      <w:pPr>
        <w:pStyle w:val="ListParagraph"/>
        <w:numPr>
          <w:ilvl w:val="0"/>
          <w:numId w:val="16"/>
        </w:numPr>
        <w:autoSpaceDE w:val="0"/>
        <w:autoSpaceDN w:val="0"/>
        <w:adjustRightInd w:val="0"/>
        <w:spacing w:after="0" w:line="240" w:lineRule="auto"/>
        <w:jc w:val="both"/>
      </w:pPr>
      <w:r w:rsidRPr="00854D1F">
        <w:t>System Support Responsibilities</w:t>
      </w:r>
    </w:p>
    <w:p w14:paraId="4A589AFC" w14:textId="024DD72B" w:rsidR="006A0174" w:rsidRDefault="006A0174">
      <w:r>
        <w:br w:type="page"/>
      </w:r>
    </w:p>
    <w:p w14:paraId="443EA3B1" w14:textId="77777777" w:rsidR="006467F8" w:rsidRPr="006467F8" w:rsidRDefault="006467F8" w:rsidP="006467F8">
      <w:pPr>
        <w:autoSpaceDE w:val="0"/>
        <w:autoSpaceDN w:val="0"/>
        <w:adjustRightInd w:val="0"/>
        <w:spacing w:after="0" w:line="240" w:lineRule="auto"/>
        <w:jc w:val="both"/>
        <w:rPr>
          <w:u w:val="single"/>
        </w:rPr>
      </w:pPr>
      <w:r w:rsidRPr="006467F8">
        <w:rPr>
          <w:u w:val="single"/>
        </w:rPr>
        <w:t xml:space="preserve">Service Definitions and Procedures </w:t>
      </w:r>
    </w:p>
    <w:p w14:paraId="321A9797" w14:textId="34B059FA" w:rsidR="006467F8" w:rsidRPr="00854D1F" w:rsidRDefault="00A66963" w:rsidP="006467F8">
      <w:pPr>
        <w:pStyle w:val="ListParagraph"/>
        <w:numPr>
          <w:ilvl w:val="0"/>
          <w:numId w:val="13"/>
        </w:numPr>
        <w:autoSpaceDE w:val="0"/>
        <w:autoSpaceDN w:val="0"/>
        <w:adjustRightInd w:val="0"/>
        <w:spacing w:after="0" w:line="240" w:lineRule="auto"/>
        <w:jc w:val="both"/>
      </w:pPr>
      <w:r w:rsidRPr="00854D1F">
        <w:t xml:space="preserve">Support Services </w:t>
      </w:r>
      <w:r w:rsidR="005800F6" w:rsidRPr="00854D1F">
        <w:t>and</w:t>
      </w:r>
      <w:r w:rsidRPr="00854D1F">
        <w:t xml:space="preserve"> Scope</w:t>
      </w:r>
      <w:r w:rsidR="006467F8" w:rsidRPr="00854D1F">
        <w:t xml:space="preserve"> – Defines the support tiers, covered services (</w:t>
      </w:r>
      <w:proofErr w:type="gramStart"/>
      <w:r w:rsidR="006467F8" w:rsidRPr="00854D1F">
        <w:t>i.e.</w:t>
      </w:r>
      <w:proofErr w:type="gramEnd"/>
      <w:r w:rsidR="006467F8" w:rsidRPr="00854D1F">
        <w:t xml:space="preserve"> change management, security access), assets in scope, and procedures.</w:t>
      </w:r>
    </w:p>
    <w:p w14:paraId="413650F9" w14:textId="77777777" w:rsidR="006467F8" w:rsidRPr="00854D1F" w:rsidRDefault="00A66963" w:rsidP="006467F8">
      <w:pPr>
        <w:pStyle w:val="ListParagraph"/>
        <w:numPr>
          <w:ilvl w:val="0"/>
          <w:numId w:val="13"/>
        </w:numPr>
        <w:autoSpaceDE w:val="0"/>
        <w:autoSpaceDN w:val="0"/>
        <w:adjustRightInd w:val="0"/>
        <w:spacing w:after="0" w:line="240" w:lineRule="auto"/>
        <w:jc w:val="both"/>
      </w:pPr>
      <w:r w:rsidRPr="00854D1F">
        <w:t>Service Level Classifications</w:t>
      </w:r>
      <w:r w:rsidR="006467F8" w:rsidRPr="00854D1F">
        <w:t xml:space="preserve"> - Defines the standards and target metrics for the services.</w:t>
      </w:r>
    </w:p>
    <w:p w14:paraId="5BCD477B" w14:textId="6557028B" w:rsidR="006467F8" w:rsidRPr="00854D1F" w:rsidRDefault="00A66963" w:rsidP="006467F8">
      <w:pPr>
        <w:pStyle w:val="ListParagraph"/>
        <w:numPr>
          <w:ilvl w:val="0"/>
          <w:numId w:val="13"/>
        </w:numPr>
        <w:autoSpaceDE w:val="0"/>
        <w:autoSpaceDN w:val="0"/>
        <w:adjustRightInd w:val="0"/>
        <w:spacing w:after="0" w:line="240" w:lineRule="auto"/>
        <w:jc w:val="both"/>
      </w:pPr>
      <w:r w:rsidRPr="00854D1F">
        <w:t>Service/Application Availability</w:t>
      </w:r>
      <w:r w:rsidR="006467F8" w:rsidRPr="00854D1F">
        <w:t xml:space="preserve"> - Defined as the time when a service is expected to be available for customer use (normally not guaranteed outside the defined Support Hours)</w:t>
      </w:r>
    </w:p>
    <w:p w14:paraId="6D3C3084" w14:textId="35B7E1FA" w:rsidR="006467F8" w:rsidRPr="00854D1F" w:rsidRDefault="00A66963" w:rsidP="006467F8">
      <w:pPr>
        <w:pStyle w:val="ListParagraph"/>
        <w:numPr>
          <w:ilvl w:val="0"/>
          <w:numId w:val="13"/>
        </w:numPr>
        <w:autoSpaceDE w:val="0"/>
        <w:autoSpaceDN w:val="0"/>
        <w:adjustRightInd w:val="0"/>
        <w:spacing w:after="0" w:line="240" w:lineRule="auto"/>
        <w:jc w:val="both"/>
      </w:pPr>
      <w:r w:rsidRPr="00854D1F">
        <w:t>Support/Coverage Hours</w:t>
      </w:r>
      <w:r w:rsidR="006467F8" w:rsidRPr="00854D1F">
        <w:t xml:space="preserve"> - Defined as the </w:t>
      </w:r>
      <w:proofErr w:type="gramStart"/>
      <w:r w:rsidR="006467F8" w:rsidRPr="00854D1F">
        <w:t>time period</w:t>
      </w:r>
      <w:proofErr w:type="gramEnd"/>
      <w:r w:rsidR="006467F8" w:rsidRPr="00854D1F">
        <w:t xml:space="preserve"> when support personnel are expected to be available to address incidents or service </w:t>
      </w:r>
      <w:r w:rsidR="005800F6" w:rsidRPr="00854D1F">
        <w:t>requests.</w:t>
      </w:r>
    </w:p>
    <w:p w14:paraId="391E3B4E" w14:textId="77777777" w:rsidR="006467F8" w:rsidRPr="00854D1F" w:rsidRDefault="00A66963" w:rsidP="006467F8">
      <w:pPr>
        <w:pStyle w:val="ListParagraph"/>
        <w:numPr>
          <w:ilvl w:val="0"/>
          <w:numId w:val="13"/>
        </w:numPr>
        <w:autoSpaceDE w:val="0"/>
        <w:autoSpaceDN w:val="0"/>
        <w:adjustRightInd w:val="0"/>
        <w:spacing w:after="0" w:line="240" w:lineRule="auto"/>
        <w:jc w:val="both"/>
      </w:pPr>
      <w:r w:rsidRPr="00854D1F">
        <w:t>Incidents / Service Disruption</w:t>
      </w:r>
      <w:r w:rsidR="006467F8" w:rsidRPr="00854D1F">
        <w:t xml:space="preserve"> - An incident is defined as any event which is not part of the standard operation of a service, and which causes, or may cause an interruption to, or a reduction in, the quality to that service depending on the level of severity. The Service Level determines response and resolution times for each severity level.</w:t>
      </w:r>
    </w:p>
    <w:p w14:paraId="57D5E2D8" w14:textId="72B54352" w:rsidR="006467F8" w:rsidRPr="00854D1F" w:rsidRDefault="00A66963" w:rsidP="006467F8">
      <w:pPr>
        <w:pStyle w:val="ListParagraph"/>
        <w:numPr>
          <w:ilvl w:val="0"/>
          <w:numId w:val="13"/>
        </w:numPr>
        <w:autoSpaceDE w:val="0"/>
        <w:autoSpaceDN w:val="0"/>
        <w:adjustRightInd w:val="0"/>
        <w:spacing w:after="0" w:line="240" w:lineRule="auto"/>
        <w:jc w:val="both"/>
      </w:pPr>
      <w:r w:rsidRPr="00854D1F">
        <w:t>Response Time</w:t>
      </w:r>
      <w:r w:rsidR="006467F8" w:rsidRPr="00854D1F">
        <w:t xml:space="preserve"> - Defined as the time it takes for the support team to acknowledge to the client that they have received the </w:t>
      </w:r>
      <w:r w:rsidR="005800F6" w:rsidRPr="00854D1F">
        <w:t>incident.</w:t>
      </w:r>
    </w:p>
    <w:p w14:paraId="436C6B8F" w14:textId="2541315C" w:rsidR="006467F8" w:rsidRPr="00854D1F" w:rsidRDefault="00A66963" w:rsidP="006467F8">
      <w:pPr>
        <w:pStyle w:val="ListParagraph"/>
        <w:numPr>
          <w:ilvl w:val="0"/>
          <w:numId w:val="13"/>
        </w:numPr>
        <w:autoSpaceDE w:val="0"/>
        <w:autoSpaceDN w:val="0"/>
        <w:adjustRightInd w:val="0"/>
        <w:spacing w:after="0" w:line="240" w:lineRule="auto"/>
        <w:jc w:val="both"/>
      </w:pPr>
      <w:r w:rsidRPr="00854D1F">
        <w:t>Resolution Time</w:t>
      </w:r>
      <w:r w:rsidR="006467F8" w:rsidRPr="00854D1F">
        <w:t xml:space="preserve"> - defined as the time it takes to restore a service back to the agreed upon Service </w:t>
      </w:r>
      <w:r w:rsidR="005800F6" w:rsidRPr="00854D1F">
        <w:t>level.</w:t>
      </w:r>
    </w:p>
    <w:p w14:paraId="316726CA" w14:textId="77777777" w:rsidR="006467F8" w:rsidRPr="00854D1F" w:rsidRDefault="00A66963" w:rsidP="006467F8">
      <w:pPr>
        <w:pStyle w:val="ListParagraph"/>
        <w:numPr>
          <w:ilvl w:val="0"/>
          <w:numId w:val="13"/>
        </w:numPr>
        <w:autoSpaceDE w:val="0"/>
        <w:autoSpaceDN w:val="0"/>
        <w:adjustRightInd w:val="0"/>
        <w:spacing w:after="0" w:line="240" w:lineRule="auto"/>
        <w:jc w:val="both"/>
      </w:pPr>
      <w:r w:rsidRPr="00854D1F">
        <w:t>Service Requests (Non-Discretionary)</w:t>
      </w:r>
      <w:r w:rsidR="006467F8" w:rsidRPr="00854D1F">
        <w:t xml:space="preserve"> – Resolution time to address unscheduled requests which may arise (</w:t>
      </w:r>
      <w:proofErr w:type="gramStart"/>
      <w:r w:rsidR="006467F8" w:rsidRPr="00854D1F">
        <w:t>i.e.</w:t>
      </w:r>
      <w:proofErr w:type="gramEnd"/>
      <w:r w:rsidR="006467F8" w:rsidRPr="00854D1F">
        <w:t xml:space="preserve"> request’s arising from a Health Authority)</w:t>
      </w:r>
    </w:p>
    <w:p w14:paraId="5D47E50E" w14:textId="77777777" w:rsidR="006467F8" w:rsidRPr="00854D1F" w:rsidRDefault="00A66963" w:rsidP="006467F8">
      <w:pPr>
        <w:pStyle w:val="ListParagraph"/>
        <w:numPr>
          <w:ilvl w:val="0"/>
          <w:numId w:val="13"/>
        </w:numPr>
        <w:autoSpaceDE w:val="0"/>
        <w:autoSpaceDN w:val="0"/>
        <w:adjustRightInd w:val="0"/>
        <w:spacing w:after="0" w:line="240" w:lineRule="auto"/>
        <w:jc w:val="both"/>
      </w:pPr>
      <w:r w:rsidRPr="00854D1F">
        <w:t>Problem Management</w:t>
      </w:r>
      <w:r w:rsidR="006467F8" w:rsidRPr="00854D1F">
        <w:t xml:space="preserve"> – Time to disposition a problem, typically arising from one or more related system incidents.  </w:t>
      </w:r>
    </w:p>
    <w:p w14:paraId="2A2B237A" w14:textId="77777777" w:rsidR="006467F8" w:rsidRPr="00854D1F" w:rsidRDefault="006467F8" w:rsidP="006467F8">
      <w:pPr>
        <w:autoSpaceDE w:val="0"/>
        <w:autoSpaceDN w:val="0"/>
        <w:adjustRightInd w:val="0"/>
        <w:spacing w:after="0" w:line="240" w:lineRule="auto"/>
        <w:jc w:val="both"/>
      </w:pPr>
    </w:p>
    <w:p w14:paraId="53FCCD8B" w14:textId="77777777" w:rsidR="006467F8" w:rsidRPr="00A66963" w:rsidRDefault="00A66963" w:rsidP="006467F8">
      <w:pPr>
        <w:autoSpaceDE w:val="0"/>
        <w:autoSpaceDN w:val="0"/>
        <w:adjustRightInd w:val="0"/>
        <w:spacing w:after="0" w:line="240" w:lineRule="auto"/>
        <w:jc w:val="both"/>
        <w:rPr>
          <w:u w:val="single"/>
        </w:rPr>
      </w:pPr>
      <w:r w:rsidRPr="00A66963">
        <w:rPr>
          <w:u w:val="single"/>
        </w:rPr>
        <w:t>Maintenance and Service Changes</w:t>
      </w:r>
    </w:p>
    <w:p w14:paraId="24663F9D" w14:textId="77777777" w:rsidR="006467F8" w:rsidRPr="00854D1F" w:rsidRDefault="006467F8" w:rsidP="006467F8">
      <w:pPr>
        <w:pStyle w:val="ListParagraph"/>
        <w:numPr>
          <w:ilvl w:val="0"/>
          <w:numId w:val="17"/>
        </w:numPr>
        <w:autoSpaceDE w:val="0"/>
        <w:autoSpaceDN w:val="0"/>
        <w:adjustRightInd w:val="0"/>
        <w:spacing w:after="0" w:line="240" w:lineRule="auto"/>
        <w:jc w:val="both"/>
      </w:pPr>
      <w:r w:rsidRPr="00854D1F">
        <w:t>Defining how changes to Agreement(s) must be authorized.   Example of changes includes change in scope, changes in services offered, or changes to performance metrics.</w:t>
      </w:r>
    </w:p>
    <w:p w14:paraId="01A33604" w14:textId="77777777" w:rsidR="006467F8" w:rsidRPr="00854D1F" w:rsidRDefault="006467F8" w:rsidP="006467F8">
      <w:pPr>
        <w:autoSpaceDE w:val="0"/>
        <w:autoSpaceDN w:val="0"/>
        <w:adjustRightInd w:val="0"/>
        <w:spacing w:after="0" w:line="240" w:lineRule="auto"/>
        <w:jc w:val="both"/>
      </w:pPr>
    </w:p>
    <w:p w14:paraId="6D5BF1F8" w14:textId="77777777" w:rsidR="006467F8" w:rsidRPr="00A66963" w:rsidRDefault="00A66963" w:rsidP="006467F8">
      <w:pPr>
        <w:autoSpaceDE w:val="0"/>
        <w:autoSpaceDN w:val="0"/>
        <w:adjustRightInd w:val="0"/>
        <w:spacing w:after="0" w:line="240" w:lineRule="auto"/>
        <w:jc w:val="both"/>
        <w:rPr>
          <w:u w:val="single"/>
        </w:rPr>
      </w:pPr>
      <w:r w:rsidRPr="00A66963">
        <w:rPr>
          <w:u w:val="single"/>
        </w:rPr>
        <w:t>Monitoring, Reporting and Reviewing</w:t>
      </w:r>
    </w:p>
    <w:p w14:paraId="28BF962F" w14:textId="0ADD124C" w:rsidR="00EB2FB0" w:rsidRPr="00CA5187" w:rsidRDefault="00EB2FB0" w:rsidP="003B03C7">
      <w:pPr>
        <w:pStyle w:val="CommentText"/>
        <w:ind w:left="360"/>
        <w:rPr>
          <w:rFonts w:cstheme="minorHAnsi"/>
        </w:rPr>
      </w:pPr>
      <w:r w:rsidRPr="003B03C7">
        <w:rPr>
          <w:rFonts w:asciiTheme="minorHAnsi" w:hAnsiTheme="minorHAnsi" w:cstheme="minorHAnsi"/>
          <w:sz w:val="22"/>
          <w:szCs w:val="22"/>
        </w:rPr>
        <w:t>Many large cloud providers expect the customer to monitor their specific VMs/instances, as the provider focuses on the overall cloud/primary service availability.</w:t>
      </w:r>
      <w:r w:rsidR="004F2FFE">
        <w:rPr>
          <w:rFonts w:asciiTheme="minorHAnsi" w:hAnsiTheme="minorHAnsi" w:cstheme="minorHAnsi"/>
          <w:sz w:val="22"/>
          <w:szCs w:val="22"/>
        </w:rPr>
        <w:t xml:space="preserve"> The following </w:t>
      </w:r>
      <w:r w:rsidR="000D3940">
        <w:rPr>
          <w:rFonts w:asciiTheme="minorHAnsi" w:hAnsiTheme="minorHAnsi" w:cstheme="minorHAnsi"/>
          <w:sz w:val="22"/>
          <w:szCs w:val="22"/>
        </w:rPr>
        <w:t>must be taken into consideration:</w:t>
      </w:r>
    </w:p>
    <w:p w14:paraId="7B5EB1F9" w14:textId="77777777" w:rsidR="006467F8" w:rsidRPr="00854D1F" w:rsidRDefault="00A66963" w:rsidP="006467F8">
      <w:pPr>
        <w:pStyle w:val="ListParagraph"/>
        <w:numPr>
          <w:ilvl w:val="0"/>
          <w:numId w:val="14"/>
        </w:numPr>
        <w:autoSpaceDE w:val="0"/>
        <w:autoSpaceDN w:val="0"/>
        <w:adjustRightInd w:val="0"/>
        <w:spacing w:after="0" w:line="240" w:lineRule="auto"/>
        <w:jc w:val="both"/>
      </w:pPr>
      <w:r>
        <w:t>Standard Monitoring a</w:t>
      </w:r>
      <w:r w:rsidRPr="00854D1F">
        <w:t>nd Reporting</w:t>
      </w:r>
      <w:r w:rsidR="006467F8" w:rsidRPr="00854D1F">
        <w:t xml:space="preserve"> – Defines monitoring and reporting requirements around information such as daily site system availability, unplanned downtime, etc.</w:t>
      </w:r>
    </w:p>
    <w:p w14:paraId="7ADEA500" w14:textId="77777777" w:rsidR="00A66963" w:rsidRPr="00A66963" w:rsidRDefault="00A66963" w:rsidP="006467F8">
      <w:pPr>
        <w:pStyle w:val="ListParagraph"/>
        <w:numPr>
          <w:ilvl w:val="0"/>
          <w:numId w:val="14"/>
        </w:numPr>
        <w:autoSpaceDE w:val="0"/>
        <w:autoSpaceDN w:val="0"/>
        <w:adjustRightInd w:val="0"/>
        <w:spacing w:after="0" w:line="240" w:lineRule="auto"/>
        <w:jc w:val="both"/>
        <w:rPr>
          <w:rFonts w:cstheme="minorHAnsi"/>
        </w:rPr>
      </w:pPr>
      <w:r w:rsidRPr="00854D1F">
        <w:t>Ad Hoc Reporting (Service Request)</w:t>
      </w:r>
      <w:r w:rsidR="006467F8" w:rsidRPr="00854D1F">
        <w:t xml:space="preserve"> – Defines monitoring and reporting of these service requests.</w:t>
      </w:r>
      <w:r>
        <w:t xml:space="preserve"> </w:t>
      </w:r>
    </w:p>
    <w:p w14:paraId="4A6CE178" w14:textId="77777777" w:rsidR="009C3BBF" w:rsidRPr="00ED5999" w:rsidRDefault="00A66963" w:rsidP="006467F8">
      <w:pPr>
        <w:pStyle w:val="ListParagraph"/>
        <w:numPr>
          <w:ilvl w:val="0"/>
          <w:numId w:val="14"/>
        </w:numPr>
        <w:autoSpaceDE w:val="0"/>
        <w:autoSpaceDN w:val="0"/>
        <w:adjustRightInd w:val="0"/>
        <w:spacing w:after="0" w:line="240" w:lineRule="auto"/>
        <w:jc w:val="both"/>
        <w:rPr>
          <w:rFonts w:cstheme="minorHAnsi"/>
        </w:rPr>
      </w:pPr>
      <w:r w:rsidRPr="00854D1F">
        <w:t>Service Review Meetings</w:t>
      </w:r>
      <w:r w:rsidR="006467F8" w:rsidRPr="00854D1F">
        <w:t xml:space="preserve"> – Defines necessary reviews of agreement(s) (</w:t>
      </w:r>
      <w:proofErr w:type="gramStart"/>
      <w:r w:rsidR="006467F8" w:rsidRPr="00854D1F">
        <w:t>i.e.</w:t>
      </w:r>
      <w:proofErr w:type="gramEnd"/>
      <w:r w:rsidR="006467F8" w:rsidRPr="00854D1F">
        <w:t xml:space="preserve"> Review Board, Audience, </w:t>
      </w:r>
      <w:r w:rsidRPr="00854D1F">
        <w:t>and Frequency</w:t>
      </w:r>
      <w:r w:rsidR="006467F8" w:rsidRPr="00854D1F">
        <w:t>).</w:t>
      </w:r>
    </w:p>
    <w:p w14:paraId="2A548119" w14:textId="77777777" w:rsidR="00ED5999" w:rsidRDefault="00ED5999" w:rsidP="00ED5999">
      <w:pPr>
        <w:autoSpaceDE w:val="0"/>
        <w:autoSpaceDN w:val="0"/>
        <w:adjustRightInd w:val="0"/>
        <w:spacing w:after="0" w:line="240" w:lineRule="auto"/>
        <w:jc w:val="both"/>
        <w:rPr>
          <w:rFonts w:cstheme="minorHAnsi"/>
        </w:rPr>
      </w:pPr>
    </w:p>
    <w:p w14:paraId="7830B2B1" w14:textId="77777777" w:rsidR="006A0174" w:rsidRDefault="006A0174" w:rsidP="00ED5999">
      <w:pPr>
        <w:autoSpaceDE w:val="0"/>
        <w:autoSpaceDN w:val="0"/>
        <w:adjustRightInd w:val="0"/>
        <w:spacing w:after="0" w:line="240" w:lineRule="auto"/>
        <w:jc w:val="both"/>
        <w:rPr>
          <w:rFonts w:cstheme="minorHAnsi"/>
        </w:rPr>
      </w:pPr>
    </w:p>
    <w:p w14:paraId="7F443824" w14:textId="77777777" w:rsidR="006A0174" w:rsidRDefault="006A0174" w:rsidP="00ED5999">
      <w:pPr>
        <w:autoSpaceDE w:val="0"/>
        <w:autoSpaceDN w:val="0"/>
        <w:adjustRightInd w:val="0"/>
        <w:spacing w:after="0" w:line="240" w:lineRule="auto"/>
        <w:jc w:val="both"/>
        <w:rPr>
          <w:rFonts w:cstheme="minorHAnsi"/>
        </w:rPr>
      </w:pPr>
    </w:p>
    <w:p w14:paraId="772AC96A" w14:textId="77777777" w:rsidR="006A0174" w:rsidRDefault="006A0174" w:rsidP="00ED5999">
      <w:pPr>
        <w:autoSpaceDE w:val="0"/>
        <w:autoSpaceDN w:val="0"/>
        <w:adjustRightInd w:val="0"/>
        <w:spacing w:after="0" w:line="240" w:lineRule="auto"/>
        <w:jc w:val="both"/>
        <w:rPr>
          <w:rFonts w:cstheme="minorHAnsi"/>
        </w:rPr>
      </w:pPr>
    </w:p>
    <w:p w14:paraId="3F7DEFF4" w14:textId="77777777" w:rsidR="006A0174" w:rsidRDefault="006A0174" w:rsidP="00ED5999">
      <w:pPr>
        <w:autoSpaceDE w:val="0"/>
        <w:autoSpaceDN w:val="0"/>
        <w:adjustRightInd w:val="0"/>
        <w:spacing w:after="0" w:line="240" w:lineRule="auto"/>
        <w:jc w:val="both"/>
        <w:rPr>
          <w:rFonts w:cstheme="minorHAnsi"/>
        </w:rPr>
      </w:pPr>
    </w:p>
    <w:p w14:paraId="5D6B34A3" w14:textId="77777777" w:rsidR="006A0174" w:rsidRDefault="006A0174" w:rsidP="00ED5999">
      <w:pPr>
        <w:autoSpaceDE w:val="0"/>
        <w:autoSpaceDN w:val="0"/>
        <w:adjustRightInd w:val="0"/>
        <w:spacing w:after="0" w:line="240" w:lineRule="auto"/>
        <w:jc w:val="both"/>
        <w:rPr>
          <w:rFonts w:cstheme="minorHAnsi"/>
        </w:rPr>
      </w:pPr>
    </w:p>
    <w:p w14:paraId="74CF389D" w14:textId="77777777" w:rsidR="006A0174" w:rsidRPr="00ED5999" w:rsidRDefault="006A0174" w:rsidP="00ED5999">
      <w:pPr>
        <w:autoSpaceDE w:val="0"/>
        <w:autoSpaceDN w:val="0"/>
        <w:adjustRightInd w:val="0"/>
        <w:spacing w:after="0" w:line="240" w:lineRule="auto"/>
        <w:jc w:val="both"/>
        <w:rPr>
          <w:rFonts w:cstheme="minorHAnsi"/>
        </w:rPr>
      </w:pPr>
    </w:p>
    <w:p w14:paraId="4E1284CC" w14:textId="651AA469" w:rsidR="00F167B3" w:rsidRPr="00952EE7" w:rsidRDefault="00F167B3" w:rsidP="00ED5999">
      <w:pPr>
        <w:pStyle w:val="Heading3"/>
      </w:pPr>
      <w:bookmarkStart w:id="43" w:name="_Ref3285101"/>
      <w:bookmarkStart w:id="44" w:name="_Ref3285292"/>
      <w:bookmarkStart w:id="45" w:name="_Toc138311616"/>
      <w:r w:rsidRPr="00952EE7">
        <w:t>Information Risk Management, Privacy and Data Protection Policies</w:t>
      </w:r>
      <w:bookmarkEnd w:id="43"/>
      <w:bookmarkEnd w:id="44"/>
      <w:bookmarkEnd w:id="45"/>
    </w:p>
    <w:p w14:paraId="377D5589" w14:textId="77777777" w:rsidR="00F167B3" w:rsidRPr="00721F2E" w:rsidRDefault="00F167B3" w:rsidP="00721F2E">
      <w:pPr>
        <w:pStyle w:val="BodyText"/>
        <w:jc w:val="both"/>
        <w:rPr>
          <w:rFonts w:cstheme="minorHAnsi"/>
        </w:rPr>
      </w:pPr>
      <w:r>
        <w:rPr>
          <w:rFonts w:cstheme="minorHAnsi"/>
        </w:rPr>
        <w:t xml:space="preserve">Risk </w:t>
      </w:r>
      <w:r w:rsidR="000F539B">
        <w:rPr>
          <w:rFonts w:cstheme="minorHAnsi"/>
        </w:rPr>
        <w:t>m</w:t>
      </w:r>
      <w:r>
        <w:rPr>
          <w:rFonts w:cstheme="minorHAnsi"/>
        </w:rPr>
        <w:t xml:space="preserve">anagement is a key activity in the overall analysis of risks for a </w:t>
      </w:r>
      <w:proofErr w:type="spellStart"/>
      <w:r>
        <w:rPr>
          <w:rFonts w:cstheme="minorHAnsi"/>
        </w:rPr>
        <w:t>GxP</w:t>
      </w:r>
      <w:proofErr w:type="spellEnd"/>
      <w:r>
        <w:rPr>
          <w:rFonts w:cstheme="minorHAnsi"/>
        </w:rPr>
        <w:t xml:space="preserve"> cloud implementation.  This is typically a key input of the SDLC</w:t>
      </w:r>
      <w:r w:rsidR="00721F2E">
        <w:rPr>
          <w:rFonts w:cstheme="minorHAnsi"/>
        </w:rPr>
        <w:t>,</w:t>
      </w:r>
      <w:r>
        <w:rPr>
          <w:rFonts w:cstheme="minorHAnsi"/>
        </w:rPr>
        <w:t xml:space="preserve"> initiated in the </w:t>
      </w:r>
      <w:r w:rsidRPr="00721F2E">
        <w:rPr>
          <w:rFonts w:cstheme="minorHAnsi"/>
        </w:rPr>
        <w:t xml:space="preserve">Planning phase and fully vetted before </w:t>
      </w:r>
      <w:r w:rsidR="00721F2E" w:rsidRPr="00721F2E">
        <w:rPr>
          <w:rFonts w:cstheme="minorHAnsi"/>
        </w:rPr>
        <w:t>progressing</w:t>
      </w:r>
      <w:r w:rsidRPr="00721F2E">
        <w:rPr>
          <w:rFonts w:cstheme="minorHAnsi"/>
        </w:rPr>
        <w:t xml:space="preserve"> the </w:t>
      </w:r>
      <w:r w:rsidR="00721F2E" w:rsidRPr="00721F2E">
        <w:rPr>
          <w:rFonts w:cstheme="minorHAnsi"/>
        </w:rPr>
        <w:t>solutions to</w:t>
      </w:r>
      <w:r w:rsidRPr="00721F2E">
        <w:rPr>
          <w:rFonts w:cstheme="minorHAnsi"/>
        </w:rPr>
        <w:t xml:space="preserve"> the production/operational environment.</w:t>
      </w:r>
    </w:p>
    <w:p w14:paraId="5E4730ED" w14:textId="77777777" w:rsidR="00737D0B" w:rsidRDefault="00F167B3" w:rsidP="00721F2E">
      <w:pPr>
        <w:pStyle w:val="BodyText"/>
        <w:ind w:left="720"/>
        <w:jc w:val="both"/>
        <w:rPr>
          <w:rFonts w:cstheme="minorHAnsi"/>
        </w:rPr>
      </w:pPr>
      <w:r w:rsidRPr="00721F2E">
        <w:rPr>
          <w:rFonts w:cstheme="minorHAnsi"/>
          <w:u w:val="single"/>
        </w:rPr>
        <w:t>Risk Assessment</w:t>
      </w:r>
      <w:r w:rsidRPr="00721F2E">
        <w:rPr>
          <w:rFonts w:cstheme="minorHAnsi"/>
        </w:rPr>
        <w:t xml:space="preserve"> - Risk Assessment is the overall assessment and identification of the </w:t>
      </w:r>
      <w:r w:rsidR="00721F2E" w:rsidRPr="00721F2E">
        <w:rPr>
          <w:rFonts w:cstheme="minorHAnsi"/>
        </w:rPr>
        <w:t>Cloud S</w:t>
      </w:r>
      <w:r w:rsidR="00737D0B" w:rsidRPr="00721F2E">
        <w:rPr>
          <w:rFonts w:cstheme="minorHAnsi"/>
        </w:rPr>
        <w:t xml:space="preserve">ervice </w:t>
      </w:r>
      <w:r w:rsidR="00721F2E" w:rsidRPr="00721F2E">
        <w:rPr>
          <w:rFonts w:cstheme="minorHAnsi"/>
        </w:rPr>
        <w:t>P</w:t>
      </w:r>
      <w:r w:rsidR="000F539B">
        <w:rPr>
          <w:rFonts w:cstheme="minorHAnsi"/>
        </w:rPr>
        <w:t>rovider</w:t>
      </w:r>
      <w:r w:rsidRPr="00721F2E">
        <w:rPr>
          <w:rFonts w:cstheme="minorHAnsi"/>
        </w:rPr>
        <w:t>s</w:t>
      </w:r>
      <w:r w:rsidR="000F539B">
        <w:rPr>
          <w:rFonts w:cstheme="minorHAnsi"/>
        </w:rPr>
        <w:t>’</w:t>
      </w:r>
      <w:r w:rsidRPr="00721F2E">
        <w:rPr>
          <w:rFonts w:cstheme="minorHAnsi"/>
        </w:rPr>
        <w:t xml:space="preserve"> risks.  Output of such assessment</w:t>
      </w:r>
      <w:r>
        <w:rPr>
          <w:rFonts w:cstheme="minorHAnsi"/>
        </w:rPr>
        <w:t xml:space="preserve"> may include high</w:t>
      </w:r>
      <w:r w:rsidR="00674852">
        <w:rPr>
          <w:rFonts w:cstheme="minorHAnsi"/>
        </w:rPr>
        <w:t>-</w:t>
      </w:r>
      <w:r>
        <w:rPr>
          <w:rFonts w:cstheme="minorHAnsi"/>
        </w:rPr>
        <w:t xml:space="preserve">risk </w:t>
      </w:r>
      <w:r w:rsidR="00674852">
        <w:rPr>
          <w:rFonts w:cstheme="minorHAnsi"/>
        </w:rPr>
        <w:t>findings that</w:t>
      </w:r>
      <w:r>
        <w:rPr>
          <w:rFonts w:cstheme="minorHAnsi"/>
        </w:rPr>
        <w:t xml:space="preserve"> need to be </w:t>
      </w:r>
      <w:r w:rsidR="000F539B">
        <w:rPr>
          <w:rFonts w:cstheme="minorHAnsi"/>
        </w:rPr>
        <w:t>mitigated and/or</w:t>
      </w:r>
      <w:r>
        <w:rPr>
          <w:rFonts w:cstheme="minorHAnsi"/>
        </w:rPr>
        <w:t xml:space="preserve"> remediated prior to implementation.  The scope of this </w:t>
      </w:r>
      <w:r w:rsidRPr="000549D8">
        <w:rPr>
          <w:rFonts w:cstheme="minorHAnsi"/>
        </w:rPr>
        <w:t xml:space="preserve">assessment </w:t>
      </w:r>
      <w:r>
        <w:rPr>
          <w:rFonts w:cstheme="minorHAnsi"/>
        </w:rPr>
        <w:t>often includes</w:t>
      </w:r>
      <w:r w:rsidRPr="000549D8">
        <w:rPr>
          <w:rFonts w:cstheme="minorHAnsi"/>
        </w:rPr>
        <w:t xml:space="preserve"> risks </w:t>
      </w:r>
      <w:r>
        <w:rPr>
          <w:rFonts w:cstheme="minorHAnsi"/>
        </w:rPr>
        <w:t>to</w:t>
      </w:r>
      <w:r w:rsidR="00737D0B">
        <w:rPr>
          <w:rFonts w:cstheme="minorHAnsi"/>
        </w:rPr>
        <w:t>:</w:t>
      </w:r>
    </w:p>
    <w:p w14:paraId="6C2CCADD" w14:textId="77777777" w:rsidR="00737D0B" w:rsidRPr="006F0A05" w:rsidRDefault="00721F2E" w:rsidP="00670620">
      <w:pPr>
        <w:pStyle w:val="ListParagraph"/>
        <w:numPr>
          <w:ilvl w:val="0"/>
          <w:numId w:val="7"/>
        </w:numPr>
        <w:ind w:left="1800"/>
        <w:jc w:val="both"/>
      </w:pPr>
      <w:r w:rsidRPr="006F0A05">
        <w:t>Information</w:t>
      </w:r>
    </w:p>
    <w:p w14:paraId="0D6F672A" w14:textId="77777777" w:rsidR="00737D0B" w:rsidRPr="006F0A05" w:rsidRDefault="00721F2E" w:rsidP="00670620">
      <w:pPr>
        <w:pStyle w:val="ListParagraph"/>
        <w:numPr>
          <w:ilvl w:val="0"/>
          <w:numId w:val="7"/>
        </w:numPr>
        <w:ind w:left="1800"/>
        <w:jc w:val="both"/>
      </w:pPr>
      <w:r w:rsidRPr="006F0A05">
        <w:t>Hardware</w:t>
      </w:r>
    </w:p>
    <w:p w14:paraId="05D578DF" w14:textId="77777777" w:rsidR="00737D0B" w:rsidRDefault="00721F2E" w:rsidP="00670620">
      <w:pPr>
        <w:pStyle w:val="ListParagraph"/>
        <w:numPr>
          <w:ilvl w:val="0"/>
          <w:numId w:val="7"/>
        </w:numPr>
        <w:ind w:left="1800"/>
        <w:jc w:val="both"/>
        <w:rPr>
          <w:rFonts w:cstheme="minorHAnsi"/>
        </w:rPr>
      </w:pPr>
      <w:r w:rsidRPr="006F0A05">
        <w:t>Software</w:t>
      </w:r>
    </w:p>
    <w:p w14:paraId="698AC8D8" w14:textId="77777777" w:rsidR="00737D0B" w:rsidRDefault="00721F2E" w:rsidP="00670620">
      <w:pPr>
        <w:pStyle w:val="ListParagraph"/>
        <w:numPr>
          <w:ilvl w:val="0"/>
          <w:numId w:val="7"/>
        </w:numPr>
        <w:ind w:left="1800"/>
        <w:jc w:val="both"/>
        <w:rPr>
          <w:rFonts w:cstheme="minorHAnsi"/>
        </w:rPr>
      </w:pPr>
      <w:r>
        <w:rPr>
          <w:rFonts w:cstheme="minorHAnsi"/>
        </w:rPr>
        <w:t>Policies and p</w:t>
      </w:r>
      <w:r w:rsidR="00737D0B">
        <w:rPr>
          <w:rFonts w:cstheme="minorHAnsi"/>
        </w:rPr>
        <w:t>rocesses</w:t>
      </w:r>
    </w:p>
    <w:p w14:paraId="0C47EB67" w14:textId="77777777" w:rsidR="00737D0B" w:rsidRDefault="00F167B3" w:rsidP="00721F2E">
      <w:pPr>
        <w:pStyle w:val="BodyText"/>
        <w:ind w:left="720"/>
        <w:jc w:val="both"/>
        <w:rPr>
          <w:rFonts w:cstheme="minorHAnsi"/>
        </w:rPr>
      </w:pPr>
      <w:r w:rsidRPr="000549D8">
        <w:rPr>
          <w:rFonts w:cstheme="minorHAnsi"/>
        </w:rPr>
        <w:t xml:space="preserve">that handle or store information.  The risk assessment process also </w:t>
      </w:r>
      <w:proofErr w:type="gramStart"/>
      <w:r w:rsidRPr="000549D8">
        <w:rPr>
          <w:rFonts w:cstheme="minorHAnsi"/>
        </w:rPr>
        <w:t>takes into account</w:t>
      </w:r>
      <w:proofErr w:type="gramEnd"/>
      <w:r w:rsidRPr="000549D8">
        <w:rPr>
          <w:rFonts w:cstheme="minorHAnsi"/>
        </w:rPr>
        <w:t xml:space="preserve"> the risks to the</w:t>
      </w:r>
      <w:r w:rsidR="00737D0B">
        <w:rPr>
          <w:rFonts w:cstheme="minorHAnsi"/>
        </w:rPr>
        <w:t>:</w:t>
      </w:r>
    </w:p>
    <w:p w14:paraId="3E1E753B" w14:textId="77777777" w:rsidR="00737D0B" w:rsidRPr="006F0A05" w:rsidRDefault="00721F2E" w:rsidP="00670620">
      <w:pPr>
        <w:pStyle w:val="ListParagraph"/>
        <w:numPr>
          <w:ilvl w:val="0"/>
          <w:numId w:val="7"/>
        </w:numPr>
        <w:ind w:left="1800"/>
        <w:jc w:val="both"/>
      </w:pPr>
      <w:r w:rsidRPr="006F0A05">
        <w:t>C</w:t>
      </w:r>
      <w:r w:rsidR="00F167B3" w:rsidRPr="006F0A05">
        <w:t>onfidentiality</w:t>
      </w:r>
    </w:p>
    <w:p w14:paraId="318435B8" w14:textId="77777777" w:rsidR="00737D0B" w:rsidRPr="006F0A05" w:rsidRDefault="00721F2E" w:rsidP="00670620">
      <w:pPr>
        <w:pStyle w:val="ListParagraph"/>
        <w:numPr>
          <w:ilvl w:val="0"/>
          <w:numId w:val="7"/>
        </w:numPr>
        <w:ind w:left="1800"/>
        <w:jc w:val="both"/>
      </w:pPr>
      <w:r w:rsidRPr="006F0A05">
        <w:t>Integrity</w:t>
      </w:r>
    </w:p>
    <w:p w14:paraId="380DB327" w14:textId="77777777" w:rsidR="00737D0B" w:rsidRDefault="00721F2E" w:rsidP="00670620">
      <w:pPr>
        <w:pStyle w:val="ListParagraph"/>
        <w:numPr>
          <w:ilvl w:val="0"/>
          <w:numId w:val="7"/>
        </w:numPr>
        <w:ind w:left="1800"/>
        <w:jc w:val="both"/>
        <w:rPr>
          <w:rFonts w:cstheme="minorHAnsi"/>
        </w:rPr>
      </w:pPr>
      <w:r w:rsidRPr="006F0A05">
        <w:t>A</w:t>
      </w:r>
      <w:r w:rsidR="00F167B3" w:rsidRPr="006F0A05">
        <w:t>vailabil</w:t>
      </w:r>
      <w:r w:rsidR="00F167B3" w:rsidRPr="000549D8">
        <w:rPr>
          <w:rFonts w:cstheme="minorHAnsi"/>
        </w:rPr>
        <w:t xml:space="preserve">ity </w:t>
      </w:r>
    </w:p>
    <w:p w14:paraId="009EBACF" w14:textId="54F8DC36" w:rsidR="00F167B3" w:rsidRDefault="00F167B3" w:rsidP="00721F2E">
      <w:pPr>
        <w:pStyle w:val="BodyText"/>
        <w:ind w:left="720"/>
        <w:jc w:val="both"/>
        <w:rPr>
          <w:rFonts w:cstheme="minorHAnsi"/>
        </w:rPr>
      </w:pPr>
      <w:r w:rsidRPr="00721F2E">
        <w:rPr>
          <w:rFonts w:cstheme="minorHAnsi"/>
        </w:rPr>
        <w:t>of information and systems as well as complian</w:t>
      </w:r>
      <w:r w:rsidR="008661AC">
        <w:rPr>
          <w:rFonts w:cstheme="minorHAnsi"/>
        </w:rPr>
        <w:t xml:space="preserve">ce with laws and regulations.  </w:t>
      </w:r>
      <w:r w:rsidRPr="00721F2E">
        <w:rPr>
          <w:rFonts w:cstheme="minorHAnsi"/>
        </w:rPr>
        <w:t>Through a systematic, disciplined risk assessment process</w:t>
      </w:r>
      <w:r w:rsidR="00674852" w:rsidRPr="00721F2E">
        <w:rPr>
          <w:rFonts w:cstheme="minorHAnsi"/>
        </w:rPr>
        <w:t xml:space="preserve">, </w:t>
      </w:r>
      <w:proofErr w:type="spellStart"/>
      <w:r w:rsidR="00674852" w:rsidRPr="00721F2E">
        <w:rPr>
          <w:rFonts w:cstheme="minorHAnsi"/>
        </w:rPr>
        <w:t>GxP</w:t>
      </w:r>
      <w:proofErr w:type="spellEnd"/>
      <w:r w:rsidRPr="00721F2E">
        <w:rPr>
          <w:rFonts w:cstheme="minorHAnsi"/>
        </w:rPr>
        <w:t xml:space="preserve"> </w:t>
      </w:r>
      <w:r w:rsidR="00721F2E" w:rsidRPr="00721F2E">
        <w:rPr>
          <w:rFonts w:cstheme="minorHAnsi"/>
        </w:rPr>
        <w:t>Cloud Service C</w:t>
      </w:r>
      <w:r w:rsidR="00737D0B" w:rsidRPr="00721F2E">
        <w:rPr>
          <w:rFonts w:cstheme="minorHAnsi"/>
        </w:rPr>
        <w:t>ustomer</w:t>
      </w:r>
      <w:r w:rsidR="00721F2E" w:rsidRPr="00721F2E">
        <w:rPr>
          <w:rFonts w:cstheme="minorHAnsi"/>
        </w:rPr>
        <w:t>s</w:t>
      </w:r>
      <w:r w:rsidR="00737D0B" w:rsidRPr="00721F2E">
        <w:rPr>
          <w:rFonts w:cstheme="minorHAnsi"/>
        </w:rPr>
        <w:t xml:space="preserve"> </w:t>
      </w:r>
      <w:r w:rsidRPr="00721F2E">
        <w:rPr>
          <w:rFonts w:cstheme="minorHAnsi"/>
        </w:rPr>
        <w:t>can ensure that information security requirements are considered to ensure compliance with all appropriate security requirements</w:t>
      </w:r>
      <w:r w:rsidR="000021F2">
        <w:rPr>
          <w:rFonts w:cstheme="minorHAnsi"/>
        </w:rPr>
        <w:t xml:space="preserve"> (often driven by law)</w:t>
      </w:r>
      <w:r w:rsidRPr="00721F2E">
        <w:rPr>
          <w:rFonts w:cstheme="minorHAnsi"/>
        </w:rPr>
        <w:t>, protect information throughout its life cycle, and facilitate the efficient implementation of security controls.</w:t>
      </w:r>
    </w:p>
    <w:p w14:paraId="6A2236D2" w14:textId="3F9C0212" w:rsidR="00D87D4F" w:rsidRDefault="00F167B3" w:rsidP="00EA0DBB">
      <w:pPr>
        <w:pStyle w:val="BodyText"/>
        <w:ind w:left="720"/>
        <w:rPr>
          <w:rFonts w:cstheme="minorHAnsi"/>
        </w:rPr>
      </w:pPr>
      <w:r>
        <w:rPr>
          <w:rFonts w:cstheme="minorHAnsi"/>
        </w:rPr>
        <w:t xml:space="preserve">The output </w:t>
      </w:r>
      <w:r w:rsidR="00F77D93">
        <w:rPr>
          <w:rFonts w:cstheme="minorHAnsi"/>
        </w:rPr>
        <w:t xml:space="preserve">of </w:t>
      </w:r>
      <w:r>
        <w:rPr>
          <w:rFonts w:cstheme="minorHAnsi"/>
        </w:rPr>
        <w:t xml:space="preserve">this process is often input to the </w:t>
      </w:r>
      <w:r w:rsidR="000021F2">
        <w:rPr>
          <w:rFonts w:cstheme="minorHAnsi"/>
        </w:rPr>
        <w:t xml:space="preserve">consideration of </w:t>
      </w:r>
      <w:r>
        <w:rPr>
          <w:rFonts w:cstheme="minorHAnsi"/>
        </w:rPr>
        <w:t xml:space="preserve">overall security </w:t>
      </w:r>
      <w:r w:rsidR="000021F2">
        <w:rPr>
          <w:rFonts w:cstheme="minorHAnsi"/>
        </w:rPr>
        <w:t>provisions of the Cloud Service Provider.</w:t>
      </w:r>
    </w:p>
    <w:p w14:paraId="3D9DF8F8" w14:textId="77777777" w:rsidR="00F167B3" w:rsidRPr="002E79F2" w:rsidRDefault="00F167B3" w:rsidP="000021F2">
      <w:pPr>
        <w:pStyle w:val="BodyText"/>
        <w:ind w:left="720"/>
        <w:jc w:val="both"/>
        <w:rPr>
          <w:rFonts w:cstheme="minorHAnsi"/>
        </w:rPr>
      </w:pPr>
      <w:r w:rsidRPr="002621FD">
        <w:rPr>
          <w:rFonts w:cstheme="minorHAnsi"/>
          <w:u w:val="single"/>
        </w:rPr>
        <w:t>Privacy Assessment</w:t>
      </w:r>
      <w:r>
        <w:rPr>
          <w:rFonts w:cstheme="minorHAnsi"/>
        </w:rPr>
        <w:t xml:space="preserve"> – Although not an explicit </w:t>
      </w:r>
      <w:proofErr w:type="spellStart"/>
      <w:r>
        <w:rPr>
          <w:rFonts w:cstheme="minorHAnsi"/>
        </w:rPr>
        <w:t>GxP</w:t>
      </w:r>
      <w:proofErr w:type="spellEnd"/>
      <w:r>
        <w:rPr>
          <w:rFonts w:cstheme="minorHAnsi"/>
        </w:rPr>
        <w:t xml:space="preserve"> requirement, considerations for Privacy, and how PII (Personally Identifiable Information) is handled by the cloud solution has become a key topic for assessment for all systems.  A key consideration for cloud is where the a</w:t>
      </w:r>
      <w:r w:rsidR="000F539B">
        <w:rPr>
          <w:rFonts w:cstheme="minorHAnsi"/>
        </w:rPr>
        <w:t xml:space="preserve">ctual PII is physically stored and, indeed, who has access to it.  Such considerations impact </w:t>
      </w:r>
      <w:r>
        <w:rPr>
          <w:rFonts w:cstheme="minorHAnsi"/>
        </w:rPr>
        <w:t xml:space="preserve">proper compliance to Privacy Regulations, especially since cloud solutions are often not </w:t>
      </w:r>
      <w:r w:rsidR="000021F2">
        <w:rPr>
          <w:rFonts w:cstheme="minorHAnsi"/>
        </w:rPr>
        <w:t xml:space="preserve">geographically </w:t>
      </w:r>
      <w:r>
        <w:rPr>
          <w:rFonts w:cstheme="minorHAnsi"/>
        </w:rPr>
        <w:t>static.</w:t>
      </w:r>
    </w:p>
    <w:p w14:paraId="70652466" w14:textId="5BA5C25C" w:rsidR="00F167B3" w:rsidRDefault="00F167B3" w:rsidP="000021F2">
      <w:pPr>
        <w:pStyle w:val="BodyText"/>
        <w:ind w:left="720"/>
        <w:jc w:val="both"/>
      </w:pPr>
      <w:r w:rsidRPr="000021F2">
        <w:rPr>
          <w:rFonts w:cstheme="minorHAnsi"/>
          <w:u w:val="single"/>
        </w:rPr>
        <w:t xml:space="preserve">Data Protection </w:t>
      </w:r>
      <w:r w:rsidR="00352E02" w:rsidRPr="000021F2">
        <w:rPr>
          <w:rFonts w:cstheme="minorHAnsi"/>
          <w:u w:val="single"/>
        </w:rPr>
        <w:t>Assessment</w:t>
      </w:r>
      <w:r w:rsidR="00352E02" w:rsidRPr="000021F2">
        <w:rPr>
          <w:rFonts w:cstheme="minorHAnsi"/>
        </w:rPr>
        <w:t xml:space="preserve"> -</w:t>
      </w:r>
      <w:r w:rsidRPr="000021F2">
        <w:rPr>
          <w:rFonts w:cstheme="minorHAnsi"/>
        </w:rPr>
        <w:t xml:space="preserve"> This involves the appropriate classification and handling of </w:t>
      </w:r>
      <w:proofErr w:type="gramStart"/>
      <w:r w:rsidRPr="000021F2">
        <w:rPr>
          <w:rFonts w:cstheme="minorHAnsi"/>
        </w:rPr>
        <w:t>all of</w:t>
      </w:r>
      <w:proofErr w:type="gramEnd"/>
      <w:r w:rsidRPr="000021F2">
        <w:rPr>
          <w:rFonts w:cstheme="minorHAnsi"/>
        </w:rPr>
        <w:t xml:space="preserve"> the </w:t>
      </w:r>
      <w:r w:rsidR="000021F2" w:rsidRPr="000021F2">
        <w:rPr>
          <w:rFonts w:cstheme="minorHAnsi"/>
        </w:rPr>
        <w:t>Cloud Service C</w:t>
      </w:r>
      <w:r w:rsidR="006C4D88" w:rsidRPr="000021F2">
        <w:rPr>
          <w:rFonts w:cstheme="minorHAnsi"/>
        </w:rPr>
        <w:t xml:space="preserve">ustomer’s </w:t>
      </w:r>
      <w:r w:rsidRPr="000021F2">
        <w:rPr>
          <w:rFonts w:cstheme="minorHAnsi"/>
        </w:rPr>
        <w:t xml:space="preserve">data and </w:t>
      </w:r>
      <w:r w:rsidR="006C4D88" w:rsidRPr="000021F2">
        <w:rPr>
          <w:rFonts w:cstheme="minorHAnsi"/>
        </w:rPr>
        <w:t xml:space="preserve">information. Proper tagging, </w:t>
      </w:r>
      <w:r w:rsidRPr="000021F2">
        <w:rPr>
          <w:rFonts w:cstheme="minorHAnsi"/>
        </w:rPr>
        <w:t xml:space="preserve">classification </w:t>
      </w:r>
      <w:r w:rsidR="006C4D88" w:rsidRPr="000021F2">
        <w:rPr>
          <w:rFonts w:cstheme="minorHAnsi"/>
        </w:rPr>
        <w:t xml:space="preserve">and ownership </w:t>
      </w:r>
      <w:r w:rsidRPr="000021F2">
        <w:rPr>
          <w:rFonts w:cstheme="minorHAnsi"/>
        </w:rPr>
        <w:t xml:space="preserve">of data greatly assists the </w:t>
      </w:r>
      <w:r w:rsidR="000021F2" w:rsidRPr="000021F2">
        <w:rPr>
          <w:rFonts w:cstheme="minorHAnsi"/>
        </w:rPr>
        <w:t>Cloud Service C</w:t>
      </w:r>
      <w:r w:rsidR="006C4D88" w:rsidRPr="000021F2">
        <w:rPr>
          <w:rFonts w:cstheme="minorHAnsi"/>
        </w:rPr>
        <w:t xml:space="preserve">ustomer’s </w:t>
      </w:r>
      <w:r w:rsidRPr="000021F2">
        <w:rPr>
          <w:rFonts w:cstheme="minorHAnsi"/>
        </w:rPr>
        <w:t xml:space="preserve">security controls to enforce the right rules and that documents are properly </w:t>
      </w:r>
      <w:r w:rsidR="00E5341A" w:rsidRPr="000021F2">
        <w:rPr>
          <w:rFonts w:cstheme="minorHAnsi"/>
        </w:rPr>
        <w:t>classified but</w:t>
      </w:r>
      <w:r w:rsidRPr="000021F2">
        <w:rPr>
          <w:rFonts w:cstheme="minorHAnsi"/>
        </w:rPr>
        <w:t xml:space="preserve"> are also required to ensure proper data use consent.  </w:t>
      </w:r>
      <w:r w:rsidRPr="000021F2">
        <w:t xml:space="preserve">When cloud services are used in clinical research, </w:t>
      </w:r>
      <w:r w:rsidR="000021F2" w:rsidRPr="000021F2">
        <w:t xml:space="preserve">for example, </w:t>
      </w:r>
      <w:r w:rsidRPr="000021F2">
        <w:t xml:space="preserve">human subject protection regulations require that the safety and privacy risks to the human subjects are reasonable in relation to the anticipated benefits.  </w:t>
      </w:r>
      <w:r w:rsidRPr="000021F2">
        <w:rPr>
          <w:rFonts w:cstheme="minorHAnsi"/>
        </w:rPr>
        <w:t xml:space="preserve">For instance, </w:t>
      </w:r>
      <w:r w:rsidR="000021F2" w:rsidRPr="000021F2">
        <w:t>c</w:t>
      </w:r>
      <w:r w:rsidRPr="000021F2">
        <w:t xml:space="preserve">linical research Sponsors and Investigators must provide </w:t>
      </w:r>
      <w:r w:rsidR="000021F2" w:rsidRPr="000021F2">
        <w:t xml:space="preserve">external parties (e.g., </w:t>
      </w:r>
      <w:r w:rsidRPr="000021F2">
        <w:t>ECs/IRBs</w:t>
      </w:r>
      <w:r w:rsidR="000021F2" w:rsidRPr="000021F2">
        <w:t>)</w:t>
      </w:r>
      <w:r w:rsidRPr="000021F2">
        <w:t xml:space="preserve"> with evidence to</w:t>
      </w:r>
      <w:r w:rsidR="00EA0DBB">
        <w:t xml:space="preserve"> </w:t>
      </w:r>
      <w:r w:rsidRPr="000021F2">
        <w:t>demonstrate the system is well controlled and that potential safety and privacy risks are appropriately managed.</w:t>
      </w:r>
    </w:p>
    <w:p w14:paraId="0F3848E3" w14:textId="77777777" w:rsidR="00154DB8" w:rsidRDefault="00154DB8" w:rsidP="000021F2">
      <w:pPr>
        <w:pStyle w:val="BodyText"/>
        <w:ind w:left="720"/>
        <w:jc w:val="both"/>
      </w:pPr>
    </w:p>
    <w:p w14:paraId="5E2F29F6" w14:textId="27856260" w:rsidR="00154DB8" w:rsidRDefault="00154DB8" w:rsidP="000021F2">
      <w:pPr>
        <w:pStyle w:val="BodyText"/>
        <w:ind w:left="720"/>
        <w:jc w:val="both"/>
      </w:pPr>
      <w:r>
        <w:rPr>
          <w:noProof/>
        </w:rPr>
        <mc:AlternateContent>
          <mc:Choice Requires="wps">
            <w:drawing>
              <wp:inline distT="0" distB="0" distL="0" distR="0" wp14:anchorId="7E398841" wp14:editId="2BCF8ABA">
                <wp:extent cx="5348377" cy="4580627"/>
                <wp:effectExtent l="0" t="0" r="24130" b="10795"/>
                <wp:docPr id="14" name="Text Box 14"/>
                <wp:cNvGraphicFramePr/>
                <a:graphic xmlns:a="http://schemas.openxmlformats.org/drawingml/2006/main">
                  <a:graphicData uri="http://schemas.microsoft.com/office/word/2010/wordprocessingShape">
                    <wps:wsp>
                      <wps:cNvSpPr txBox="1"/>
                      <wps:spPr>
                        <a:xfrm>
                          <a:off x="0" y="0"/>
                          <a:ext cx="5348377" cy="4580627"/>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F3B1A76" w14:textId="77777777" w:rsidR="00FA39D6" w:rsidRPr="008661AC" w:rsidRDefault="00FA39D6" w:rsidP="008661AC">
                            <w:pPr>
                              <w:pStyle w:val="ListNumber"/>
                              <w:numPr>
                                <w:ilvl w:val="0"/>
                                <w:numId w:val="0"/>
                              </w:numPr>
                              <w:rPr>
                                <w:i/>
                                <w:color w:val="2E74B5" w:themeColor="accent1" w:themeShade="BF"/>
                              </w:rPr>
                            </w:pPr>
                            <w:r w:rsidRPr="008661AC">
                              <w:rPr>
                                <w:i/>
                                <w:color w:val="2E74B5" w:themeColor="accent1" w:themeShade="BF"/>
                              </w:rPr>
                              <w:t xml:space="preserve">The European Global Data Protection Regulation (GDPR) is in effect as of 25 May 2018. While it does not specifically focus on cloud installations (the word ‘cloud’ is not mentioned anywhere), it does contain several clauses that have a huge impact on the way companies collect, </w:t>
                            </w:r>
                            <w:proofErr w:type="gramStart"/>
                            <w:r w:rsidRPr="008661AC">
                              <w:rPr>
                                <w:i/>
                                <w:color w:val="2E74B5" w:themeColor="accent1" w:themeShade="BF"/>
                              </w:rPr>
                              <w:t>manage</w:t>
                            </w:r>
                            <w:proofErr w:type="gramEnd"/>
                            <w:r w:rsidRPr="008661AC">
                              <w:rPr>
                                <w:i/>
                                <w:color w:val="2E74B5" w:themeColor="accent1" w:themeShade="BF"/>
                              </w:rPr>
                              <w:t xml:space="preserve"> and store their data. It falls outside of the scope of this document to assess the impact of the GDPR specifically for cloud installations. By now, most companies will have performed a GDPR assessment, acting where needed by adjusting and sharpening their policies and/or the way their 3</w:t>
                            </w:r>
                            <w:r w:rsidRPr="008661AC">
                              <w:rPr>
                                <w:i/>
                                <w:color w:val="2E74B5" w:themeColor="accent1" w:themeShade="BF"/>
                                <w:vertAlign w:val="superscript"/>
                              </w:rPr>
                              <w:t>rd</w:t>
                            </w:r>
                            <w:r w:rsidRPr="008661AC">
                              <w:rPr>
                                <w:i/>
                                <w:color w:val="2E74B5" w:themeColor="accent1" w:themeShade="BF"/>
                              </w:rPr>
                              <w:t xml:space="preserve"> parties handle data management on behalf of the company. Cloud consumers that collect and process EU citizen data, even if they are not from the EU, </w:t>
                            </w:r>
                            <w:proofErr w:type="gramStart"/>
                            <w:r w:rsidRPr="008661AC">
                              <w:rPr>
                                <w:i/>
                                <w:color w:val="2E74B5" w:themeColor="accent1" w:themeShade="BF"/>
                              </w:rPr>
                              <w:t>have to</w:t>
                            </w:r>
                            <w:proofErr w:type="gramEnd"/>
                            <w:r w:rsidRPr="008661AC">
                              <w:rPr>
                                <w:i/>
                                <w:color w:val="2E74B5" w:themeColor="accent1" w:themeShade="BF"/>
                              </w:rPr>
                              <w:t xml:space="preserve"> adhere to the regulations of the GDPR, and this is something that must be taken into account when selecting a provider. </w:t>
                            </w:r>
                          </w:p>
                          <w:p w14:paraId="6972E4D3" w14:textId="77777777" w:rsidR="00FA39D6" w:rsidRPr="008661AC" w:rsidRDefault="00FA39D6" w:rsidP="008661AC">
                            <w:pPr>
                              <w:pStyle w:val="ListNumber"/>
                              <w:numPr>
                                <w:ilvl w:val="0"/>
                                <w:numId w:val="0"/>
                              </w:numPr>
                              <w:rPr>
                                <w:i/>
                                <w:color w:val="2E74B5" w:themeColor="accent1" w:themeShade="BF"/>
                              </w:rPr>
                            </w:pPr>
                            <w:r w:rsidRPr="008661AC">
                              <w:rPr>
                                <w:i/>
                                <w:color w:val="2E74B5" w:themeColor="accent1" w:themeShade="BF"/>
                              </w:rPr>
                              <w:t>The GDPR sets forth many requirements that are not so easy to manage, specifically for a cloud installation. Most notoriously, chapter 3 entitles so call ‘data subjects’ a whole set of rights around strengthening data privacy, for example the ‘Right to Restriction’ (Article 16) and the ‘Right to Erasure’ (Article 18). Citizens can demand to see what data is held on them, to what purpose, and they may demand that data are deleted at any time. The cloud service must provide sufficient functionality and controls to enable cloud customers to respect the GDPR regulations.</w:t>
                            </w:r>
                          </w:p>
                          <w:p w14:paraId="51F52E3C" w14:textId="229313C8" w:rsidR="00FA39D6" w:rsidRPr="009B4C6B" w:rsidRDefault="00FA39D6" w:rsidP="008661AC">
                            <w:pPr>
                              <w:pStyle w:val="ListNumber"/>
                              <w:numPr>
                                <w:ilvl w:val="0"/>
                                <w:numId w:val="0"/>
                              </w:numPr>
                              <w:rPr>
                                <w:i/>
                                <w:color w:val="2E74B5" w:themeColor="accent1" w:themeShade="BF"/>
                              </w:rPr>
                            </w:pPr>
                            <w:r w:rsidRPr="008661AC">
                              <w:rPr>
                                <w:i/>
                                <w:color w:val="2E74B5" w:themeColor="accent1" w:themeShade="BF"/>
                              </w:rPr>
                              <w:t>Additionally, the GDPR has requirements with regards to data sovereignty. It requires that all data stored on EU citizens are either stored in the EU region, or somewhere else with at least equal or better levels of protection. This requires a cloud consumer to be aware at where their data are localized. Many cloud providers provide flexible data localization options (based on fee), so with some negotiation and contracting it is usually possible to ascertain that data are stored in a location that complies with GDPR regulations.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E398841" id="Text Box 14" o:spid="_x0000_s1047" type="#_x0000_t202" style="width:421.15pt;height:36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" filled="f" strokecolor="#5b9bd5 [3204]">
                <v:textbox>
                  <w:txbxContent>
                    <w:p w14:paraId="0F3B1A76" w14:textId="77777777" w:rsidR="00FA39D6" w:rsidRPr="008661AC" w:rsidRDefault="00FA39D6" w:rsidP="008661AC">
                      <w:pPr>
                        <w:pStyle w:val="ListNumber"/>
                        <w:numPr>
                          <w:ilvl w:val="0"/>
                          <w:numId w:val="0"/>
                        </w:numPr>
                        <w:rPr>
                          <w:i/>
                          <w:color w:val="2E74B5" w:themeColor="accent1" w:themeShade="BF"/>
                        </w:rPr>
                      </w:pPr>
                      <w:r w:rsidRPr="008661AC">
                        <w:rPr>
                          <w:i/>
                          <w:color w:val="2E74B5" w:themeColor="accent1" w:themeShade="BF"/>
                        </w:rPr>
                        <w:t xml:space="preserve">The European Global Data Protection Regulation (GDPR) is in effect as of 25 May 2018. While it does not specifically focus on cloud installations (the word ‘cloud’ is not mentioned anywhere), it does contain several clauses that have a huge impact on the way companies collect, </w:t>
                      </w:r>
                      <w:proofErr w:type="gramStart"/>
                      <w:r w:rsidRPr="008661AC">
                        <w:rPr>
                          <w:i/>
                          <w:color w:val="2E74B5" w:themeColor="accent1" w:themeShade="BF"/>
                        </w:rPr>
                        <w:t>manage</w:t>
                      </w:r>
                      <w:proofErr w:type="gramEnd"/>
                      <w:r w:rsidRPr="008661AC">
                        <w:rPr>
                          <w:i/>
                          <w:color w:val="2E74B5" w:themeColor="accent1" w:themeShade="BF"/>
                        </w:rPr>
                        <w:t xml:space="preserve"> and store their data. It falls outside of the scope of this document to assess the impact of the GDPR specifically for cloud installations. By now, most companies will have performed a GDPR assessment, acting where needed by adjusting and sharpening their policies and/or the way their 3</w:t>
                      </w:r>
                      <w:r w:rsidRPr="008661AC">
                        <w:rPr>
                          <w:i/>
                          <w:color w:val="2E74B5" w:themeColor="accent1" w:themeShade="BF"/>
                          <w:vertAlign w:val="superscript"/>
                        </w:rPr>
                        <w:t>rd</w:t>
                      </w:r>
                      <w:r w:rsidRPr="008661AC">
                        <w:rPr>
                          <w:i/>
                          <w:color w:val="2E74B5" w:themeColor="accent1" w:themeShade="BF"/>
                        </w:rPr>
                        <w:t xml:space="preserve"> parties handle data management on behalf of the company. Cloud consumers that collect and process EU citizen data, even if they are not from the EU, </w:t>
                      </w:r>
                      <w:proofErr w:type="gramStart"/>
                      <w:r w:rsidRPr="008661AC">
                        <w:rPr>
                          <w:i/>
                          <w:color w:val="2E74B5" w:themeColor="accent1" w:themeShade="BF"/>
                        </w:rPr>
                        <w:t>have to</w:t>
                      </w:r>
                      <w:proofErr w:type="gramEnd"/>
                      <w:r w:rsidRPr="008661AC">
                        <w:rPr>
                          <w:i/>
                          <w:color w:val="2E74B5" w:themeColor="accent1" w:themeShade="BF"/>
                        </w:rPr>
                        <w:t xml:space="preserve"> adhere to the regulations of the GDPR, and this is something that must be taken into account when selecting a provider. </w:t>
                      </w:r>
                    </w:p>
                    <w:p w14:paraId="6972E4D3" w14:textId="77777777" w:rsidR="00FA39D6" w:rsidRPr="008661AC" w:rsidRDefault="00FA39D6" w:rsidP="008661AC">
                      <w:pPr>
                        <w:pStyle w:val="ListNumber"/>
                        <w:numPr>
                          <w:ilvl w:val="0"/>
                          <w:numId w:val="0"/>
                        </w:numPr>
                        <w:rPr>
                          <w:i/>
                          <w:color w:val="2E74B5" w:themeColor="accent1" w:themeShade="BF"/>
                        </w:rPr>
                      </w:pPr>
                      <w:r w:rsidRPr="008661AC">
                        <w:rPr>
                          <w:i/>
                          <w:color w:val="2E74B5" w:themeColor="accent1" w:themeShade="BF"/>
                        </w:rPr>
                        <w:t>The GDPR sets forth many requirements that are not so easy to manage, specifically for a cloud installation. Most notoriously, chapter 3 entitles so call ‘data subjects’ a whole set of rights around strengthening data privacy, for example the ‘Right to Restriction’ (Article 16) and the ‘Right to Erasure’ (Article 18). Citizens can demand to see what data is held on them, to what purpose, and they may demand that data are deleted at any time. The cloud service must provide sufficient functionality and controls to enable cloud customers to respect the GDPR regulations.</w:t>
                      </w:r>
                    </w:p>
                    <w:p w14:paraId="51F52E3C" w14:textId="229313C8" w:rsidR="00FA39D6" w:rsidRPr="009B4C6B" w:rsidRDefault="00FA39D6" w:rsidP="008661AC">
                      <w:pPr>
                        <w:pStyle w:val="ListNumber"/>
                        <w:numPr>
                          <w:ilvl w:val="0"/>
                          <w:numId w:val="0"/>
                        </w:numPr>
                        <w:rPr>
                          <w:i/>
                          <w:color w:val="2E74B5" w:themeColor="accent1" w:themeShade="BF"/>
                        </w:rPr>
                      </w:pPr>
                      <w:r w:rsidRPr="008661AC">
                        <w:rPr>
                          <w:i/>
                          <w:color w:val="2E74B5" w:themeColor="accent1" w:themeShade="BF"/>
                        </w:rPr>
                        <w:t>Additionally, the GDPR has requirements with regards to data sovereignty. It requires that all data stored on EU citizens are either stored in the EU region, or somewhere else with at least equal or better levels of protection. This requires a cloud consumer to be aware at where their data are localized. Many cloud providers provide flexible data localization options (based on fee), so with some negotiation and contracting it is usually possible to ascertain that data are stored in a location that complies with GDPR regulations.</w:t>
                      </w:r>
                    </w:p>
                  </w:txbxContent>
                </v:textbox>
                <w10:anchorlock/>
              </v:shape>
            </w:pict>
          </mc:Fallback>
        </mc:AlternateContent>
      </w:r>
    </w:p>
    <w:p w14:paraId="52699FA7" w14:textId="431BBBBD" w:rsidR="00154DB8" w:rsidRDefault="00154DB8" w:rsidP="000021F2">
      <w:pPr>
        <w:pStyle w:val="BodyText"/>
        <w:ind w:left="720"/>
        <w:jc w:val="both"/>
      </w:pPr>
      <w:r>
        <w:rPr>
          <w:noProof/>
        </w:rPr>
        <mc:AlternateContent>
          <mc:Choice Requires="wps">
            <w:drawing>
              <wp:inline distT="0" distB="0" distL="0" distR="0" wp14:anchorId="0DD89D6D" wp14:editId="490A23C9">
                <wp:extent cx="5347970" cy="2838091"/>
                <wp:effectExtent l="0" t="0" r="24130" b="19685"/>
                <wp:docPr id="33" name="Text Box 33"/>
                <wp:cNvGraphicFramePr/>
                <a:graphic xmlns:a="http://schemas.openxmlformats.org/drawingml/2006/main">
                  <a:graphicData uri="http://schemas.microsoft.com/office/word/2010/wordprocessingShape">
                    <wps:wsp>
                      <wps:cNvSpPr txBox="1"/>
                      <wps:spPr>
                        <a:xfrm>
                          <a:off x="0" y="0"/>
                          <a:ext cx="5347970" cy="2838091"/>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59DED8B" w14:textId="74F0BB9A" w:rsidR="00FA39D6" w:rsidRPr="00154DB8" w:rsidRDefault="00FA39D6" w:rsidP="00154DB8">
                            <w:pPr>
                              <w:pStyle w:val="ListNumber"/>
                              <w:numPr>
                                <w:ilvl w:val="0"/>
                                <w:numId w:val="0"/>
                              </w:numPr>
                              <w:rPr>
                                <w:b/>
                                <w:i/>
                                <w:color w:val="2E74B5" w:themeColor="accent1" w:themeShade="BF"/>
                              </w:rPr>
                            </w:pPr>
                            <w:r w:rsidRPr="00154DB8">
                              <w:rPr>
                                <w:b/>
                                <w:i/>
                                <w:color w:val="2E74B5" w:themeColor="accent1" w:themeShade="BF"/>
                              </w:rPr>
                              <w:t xml:space="preserve">My company decided to change our platform to a new Cloud Vendor, what steps are the major considerations in planning the data migration activities?  </w:t>
                            </w:r>
                          </w:p>
                          <w:p w14:paraId="06AEC876" w14:textId="77777777" w:rsidR="00FA39D6" w:rsidRPr="00154DB8" w:rsidRDefault="00FA39D6" w:rsidP="00154DB8">
                            <w:pPr>
                              <w:pStyle w:val="ListNumber"/>
                              <w:numPr>
                                <w:ilvl w:val="0"/>
                                <w:numId w:val="0"/>
                              </w:numPr>
                              <w:rPr>
                                <w:i/>
                                <w:color w:val="2E74B5" w:themeColor="accent1" w:themeShade="BF"/>
                              </w:rPr>
                            </w:pPr>
                            <w:r w:rsidRPr="00154DB8">
                              <w:rPr>
                                <w:i/>
                                <w:color w:val="2E74B5" w:themeColor="accent1" w:themeShade="BF"/>
                              </w:rPr>
                              <w:t xml:space="preserve">Scenarios: </w:t>
                            </w:r>
                          </w:p>
                          <w:p w14:paraId="7B83C1C1" w14:textId="1E5C5A64" w:rsidR="00FA39D6" w:rsidRPr="00154DB8" w:rsidRDefault="00FA39D6" w:rsidP="00154DB8">
                            <w:pPr>
                              <w:pStyle w:val="ListNumber"/>
                              <w:numPr>
                                <w:ilvl w:val="0"/>
                                <w:numId w:val="0"/>
                              </w:numPr>
                              <w:rPr>
                                <w:i/>
                                <w:color w:val="2E74B5" w:themeColor="accent1" w:themeShade="BF"/>
                              </w:rPr>
                            </w:pPr>
                            <w:r w:rsidRPr="00154DB8">
                              <w:rPr>
                                <w:i/>
                                <w:color w:val="2E74B5" w:themeColor="accent1" w:themeShade="BF"/>
                                <w:u w:val="single"/>
                              </w:rPr>
                              <w:t>Legacy to Cloud</w:t>
                            </w:r>
                            <w:r>
                              <w:rPr>
                                <w:i/>
                                <w:color w:val="2E74B5" w:themeColor="accent1" w:themeShade="BF"/>
                              </w:rPr>
                              <w:t xml:space="preserve"> - </w:t>
                            </w:r>
                            <w:r w:rsidRPr="00154DB8">
                              <w:rPr>
                                <w:i/>
                                <w:color w:val="2E74B5" w:themeColor="accent1" w:themeShade="BF"/>
                              </w:rPr>
                              <w:t xml:space="preserve">When forming your data migration plan, consider your Cloud adoption plan for new trials as well as make decisions on the legacy study data:  Which studies continue to support new clinical trials and programs?  How will the company maintain/retire the legacy data and platforms?  Plans to reduce the maintenance investment on legacy systems and plans to decommission while ramping up the Cloud platform adoption.  </w:t>
                            </w:r>
                          </w:p>
                          <w:p w14:paraId="6B15D15B" w14:textId="3F89FB12" w:rsidR="00FA39D6" w:rsidRPr="00154DB8" w:rsidRDefault="00FA39D6" w:rsidP="00154DB8">
                            <w:pPr>
                              <w:pStyle w:val="ListNumber"/>
                              <w:numPr>
                                <w:ilvl w:val="0"/>
                                <w:numId w:val="0"/>
                              </w:numPr>
                              <w:rPr>
                                <w:i/>
                                <w:color w:val="2E74B5" w:themeColor="accent1" w:themeShade="BF"/>
                              </w:rPr>
                            </w:pPr>
                            <w:r w:rsidRPr="00154DB8">
                              <w:rPr>
                                <w:i/>
                                <w:color w:val="2E74B5" w:themeColor="accent1" w:themeShade="BF"/>
                                <w:u w:val="single"/>
                              </w:rPr>
                              <w:t>Cloud to Cloud</w:t>
                            </w:r>
                            <w:r>
                              <w:rPr>
                                <w:i/>
                                <w:color w:val="2E74B5" w:themeColor="accent1" w:themeShade="BF"/>
                              </w:rPr>
                              <w:t xml:space="preserve"> - </w:t>
                            </w:r>
                            <w:r w:rsidRPr="00154DB8">
                              <w:rPr>
                                <w:i/>
                                <w:color w:val="2E74B5" w:themeColor="accent1" w:themeShade="BF"/>
                              </w:rPr>
                              <w:t xml:space="preserve">When forming your data migration plan, consider your </w:t>
                            </w:r>
                            <w:proofErr w:type="gramStart"/>
                            <w:r w:rsidRPr="00154DB8">
                              <w:rPr>
                                <w:i/>
                                <w:color w:val="2E74B5" w:themeColor="accent1" w:themeShade="BF"/>
                              </w:rPr>
                              <w:t>Cloud to Cloud</w:t>
                            </w:r>
                            <w:proofErr w:type="gramEnd"/>
                            <w:r w:rsidRPr="00154DB8">
                              <w:rPr>
                                <w:i/>
                                <w:color w:val="2E74B5" w:themeColor="accent1" w:themeShade="BF"/>
                              </w:rPr>
                              <w:t xml:space="preserve"> adoption plan:  How will this migration occur?  Where are each vendor’s responsibilities?  How will the company maintain/retire the former Cloud data or migrate all date to the new Cloud platform?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D89D6D" id="Text Box 33" o:spid="_x0000_s1048" type="#_x0000_t202" style="width:421.1pt;height:2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" filled="f" strokecolor="#5b9bd5 [3204]">
                <v:textbox>
                  <w:txbxContent>
                    <w:p w14:paraId="359DED8B" w14:textId="74F0BB9A" w:rsidR="00FA39D6" w:rsidRPr="00154DB8" w:rsidRDefault="00FA39D6" w:rsidP="00154DB8">
                      <w:pPr>
                        <w:pStyle w:val="ListNumber"/>
                        <w:numPr>
                          <w:ilvl w:val="0"/>
                          <w:numId w:val="0"/>
                        </w:numPr>
                        <w:rPr>
                          <w:b/>
                          <w:i/>
                          <w:color w:val="2E74B5" w:themeColor="accent1" w:themeShade="BF"/>
                        </w:rPr>
                      </w:pPr>
                      <w:r w:rsidRPr="00154DB8">
                        <w:rPr>
                          <w:b/>
                          <w:i/>
                          <w:color w:val="2E74B5" w:themeColor="accent1" w:themeShade="BF"/>
                        </w:rPr>
                        <w:t xml:space="preserve">My company decided to change our platform to a new Cloud Vendor, what steps are the major considerations in planning the data migration activities?  </w:t>
                      </w:r>
                    </w:p>
                    <w:p w14:paraId="06AEC876" w14:textId="77777777" w:rsidR="00FA39D6" w:rsidRPr="00154DB8" w:rsidRDefault="00FA39D6" w:rsidP="00154DB8">
                      <w:pPr>
                        <w:pStyle w:val="ListNumber"/>
                        <w:numPr>
                          <w:ilvl w:val="0"/>
                          <w:numId w:val="0"/>
                        </w:numPr>
                        <w:rPr>
                          <w:i/>
                          <w:color w:val="2E74B5" w:themeColor="accent1" w:themeShade="BF"/>
                        </w:rPr>
                      </w:pPr>
                      <w:r w:rsidRPr="00154DB8">
                        <w:rPr>
                          <w:i/>
                          <w:color w:val="2E74B5" w:themeColor="accent1" w:themeShade="BF"/>
                        </w:rPr>
                        <w:t xml:space="preserve">Scenarios: </w:t>
                      </w:r>
                    </w:p>
                    <w:p w14:paraId="7B83C1C1" w14:textId="1E5C5A64" w:rsidR="00FA39D6" w:rsidRPr="00154DB8" w:rsidRDefault="00FA39D6" w:rsidP="00154DB8">
                      <w:pPr>
                        <w:pStyle w:val="ListNumber"/>
                        <w:numPr>
                          <w:ilvl w:val="0"/>
                          <w:numId w:val="0"/>
                        </w:numPr>
                        <w:rPr>
                          <w:i/>
                          <w:color w:val="2E74B5" w:themeColor="accent1" w:themeShade="BF"/>
                        </w:rPr>
                      </w:pPr>
                      <w:r w:rsidRPr="00154DB8">
                        <w:rPr>
                          <w:i/>
                          <w:color w:val="2E74B5" w:themeColor="accent1" w:themeShade="BF"/>
                          <w:u w:val="single"/>
                        </w:rPr>
                        <w:t>Legacy to Cloud</w:t>
                      </w:r>
                      <w:r>
                        <w:rPr>
                          <w:i/>
                          <w:color w:val="2E74B5" w:themeColor="accent1" w:themeShade="BF"/>
                        </w:rPr>
                        <w:t xml:space="preserve"> - </w:t>
                      </w:r>
                      <w:r w:rsidRPr="00154DB8">
                        <w:rPr>
                          <w:i/>
                          <w:color w:val="2E74B5" w:themeColor="accent1" w:themeShade="BF"/>
                        </w:rPr>
                        <w:t xml:space="preserve">When forming your data migration plan, consider your Cloud adoption plan for new trials as well as make decisions on the legacy study data:  Which studies continue to support new clinical trials and programs?  How will the company maintain/retire the legacy data and platforms?  Plans to reduce the maintenance investment on legacy systems and plans to decommission while ramping up the Cloud platform adoption.  </w:t>
                      </w:r>
                    </w:p>
                    <w:p w14:paraId="6B15D15B" w14:textId="3F89FB12" w:rsidR="00FA39D6" w:rsidRPr="00154DB8" w:rsidRDefault="00FA39D6" w:rsidP="00154DB8">
                      <w:pPr>
                        <w:pStyle w:val="ListNumber"/>
                        <w:numPr>
                          <w:ilvl w:val="0"/>
                          <w:numId w:val="0"/>
                        </w:numPr>
                        <w:rPr>
                          <w:i/>
                          <w:color w:val="2E74B5" w:themeColor="accent1" w:themeShade="BF"/>
                        </w:rPr>
                      </w:pPr>
                      <w:r w:rsidRPr="00154DB8">
                        <w:rPr>
                          <w:i/>
                          <w:color w:val="2E74B5" w:themeColor="accent1" w:themeShade="BF"/>
                          <w:u w:val="single"/>
                        </w:rPr>
                        <w:t>Cloud to Cloud</w:t>
                      </w:r>
                      <w:r>
                        <w:rPr>
                          <w:i/>
                          <w:color w:val="2E74B5" w:themeColor="accent1" w:themeShade="BF"/>
                        </w:rPr>
                        <w:t xml:space="preserve"> - </w:t>
                      </w:r>
                      <w:r w:rsidRPr="00154DB8">
                        <w:rPr>
                          <w:i/>
                          <w:color w:val="2E74B5" w:themeColor="accent1" w:themeShade="BF"/>
                        </w:rPr>
                        <w:t xml:space="preserve">When forming your data migration plan, consider your </w:t>
                      </w:r>
                      <w:proofErr w:type="gramStart"/>
                      <w:r w:rsidRPr="00154DB8">
                        <w:rPr>
                          <w:i/>
                          <w:color w:val="2E74B5" w:themeColor="accent1" w:themeShade="BF"/>
                        </w:rPr>
                        <w:t>Cloud to Cloud</w:t>
                      </w:r>
                      <w:proofErr w:type="gramEnd"/>
                      <w:r w:rsidRPr="00154DB8">
                        <w:rPr>
                          <w:i/>
                          <w:color w:val="2E74B5" w:themeColor="accent1" w:themeShade="BF"/>
                        </w:rPr>
                        <w:t xml:space="preserve"> adoption plan:  How will this migration occur?  Where are each vendor’s responsibilities?  How will the company maintain/retire the former Cloud data or migrate all date to the new Cloud platform?  </w:t>
                      </w:r>
                    </w:p>
                  </w:txbxContent>
                </v:textbox>
                <w10:anchorlock/>
              </v:shape>
            </w:pict>
          </mc:Fallback>
        </mc:AlternateContent>
      </w:r>
    </w:p>
    <w:p w14:paraId="391EA8FA" w14:textId="50F0BE87" w:rsidR="00154DB8" w:rsidRDefault="00154DB8" w:rsidP="000021F2">
      <w:pPr>
        <w:pStyle w:val="BodyText"/>
        <w:ind w:left="720"/>
        <w:jc w:val="both"/>
      </w:pPr>
    </w:p>
    <w:p w14:paraId="009DEA21" w14:textId="78610474" w:rsidR="008661AC" w:rsidRDefault="008661AC" w:rsidP="000021F2">
      <w:pPr>
        <w:pStyle w:val="BodyText"/>
        <w:ind w:left="720"/>
        <w:jc w:val="both"/>
      </w:pPr>
    </w:p>
    <w:p w14:paraId="733242E1" w14:textId="75AF5291" w:rsidR="00F167B3" w:rsidRDefault="00F167B3" w:rsidP="00ED5999">
      <w:pPr>
        <w:pStyle w:val="Heading3"/>
      </w:pPr>
      <w:bookmarkStart w:id="46" w:name="_Ref3285298"/>
      <w:bookmarkStart w:id="47" w:name="_Toc138311617"/>
      <w:r>
        <w:t>C</w:t>
      </w:r>
      <w:r w:rsidR="00C304FA">
        <w:t>yber</w:t>
      </w:r>
      <w:r>
        <w:t xml:space="preserve"> </w:t>
      </w:r>
      <w:r w:rsidRPr="00CD4A0C">
        <w:t>Security</w:t>
      </w:r>
      <w:bookmarkEnd w:id="46"/>
      <w:bookmarkEnd w:id="47"/>
      <w:r w:rsidRPr="00CD4A0C">
        <w:t xml:space="preserve"> </w:t>
      </w:r>
    </w:p>
    <w:p w14:paraId="6A3CAC3E" w14:textId="26FB95EB" w:rsidR="00E91F7B" w:rsidRDefault="00F167B3" w:rsidP="00E91F7B">
      <w:pPr>
        <w:pStyle w:val="BodyText"/>
        <w:jc w:val="both"/>
        <w:rPr>
          <w:rFonts w:cstheme="minorHAnsi"/>
        </w:rPr>
      </w:pPr>
      <w:r>
        <w:rPr>
          <w:rFonts w:cstheme="minorHAnsi"/>
        </w:rPr>
        <w:t>Facilitating</w:t>
      </w:r>
      <w:r w:rsidRPr="00CD4A0C">
        <w:rPr>
          <w:rFonts w:cstheme="minorHAnsi"/>
        </w:rPr>
        <w:t xml:space="preserve"> </w:t>
      </w:r>
      <w:r w:rsidR="00E91F7B">
        <w:rPr>
          <w:rFonts w:cstheme="minorHAnsi"/>
        </w:rPr>
        <w:t>a</w:t>
      </w:r>
      <w:r w:rsidRPr="00CD4A0C">
        <w:rPr>
          <w:rFonts w:cstheme="minorHAnsi"/>
        </w:rPr>
        <w:t xml:space="preserve"> transition to cloud while maintaining a </w:t>
      </w:r>
      <w:r w:rsidR="00795F35" w:rsidRPr="00CD4A0C">
        <w:rPr>
          <w:rFonts w:cstheme="minorHAnsi"/>
        </w:rPr>
        <w:t>secure</w:t>
      </w:r>
      <w:r w:rsidRPr="00CD4A0C">
        <w:rPr>
          <w:rFonts w:cstheme="minorHAnsi"/>
        </w:rPr>
        <w:t xml:space="preserve"> </w:t>
      </w:r>
      <w:r w:rsidR="00E91F7B">
        <w:rPr>
          <w:rFonts w:cstheme="minorHAnsi"/>
        </w:rPr>
        <w:t>regulatory compliant</w:t>
      </w:r>
      <w:r w:rsidRPr="00CD4A0C">
        <w:rPr>
          <w:rFonts w:cstheme="minorHAnsi"/>
        </w:rPr>
        <w:t xml:space="preserve"> and policy compliant environment</w:t>
      </w:r>
      <w:r>
        <w:rPr>
          <w:rFonts w:cstheme="minorHAnsi"/>
        </w:rPr>
        <w:t xml:space="preserve"> is one of the largest areas of concern in the adoption of cloud for </w:t>
      </w:r>
      <w:proofErr w:type="spellStart"/>
      <w:r>
        <w:rPr>
          <w:rFonts w:cstheme="minorHAnsi"/>
        </w:rPr>
        <w:t>GxP</w:t>
      </w:r>
      <w:proofErr w:type="spellEnd"/>
      <w:r w:rsidRPr="00CD4A0C">
        <w:rPr>
          <w:rFonts w:cstheme="minorHAnsi"/>
        </w:rPr>
        <w:t xml:space="preserve">. </w:t>
      </w:r>
      <w:r>
        <w:rPr>
          <w:rFonts w:cstheme="minorHAnsi"/>
        </w:rPr>
        <w:t xml:space="preserve">  A guide to the overall security considerations is a key</w:t>
      </w:r>
      <w:r w:rsidRPr="00CD4A0C">
        <w:rPr>
          <w:rFonts w:cstheme="minorHAnsi"/>
        </w:rPr>
        <w:t xml:space="preserve"> reference for critical</w:t>
      </w:r>
      <w:r>
        <w:rPr>
          <w:rFonts w:cstheme="minorHAnsi"/>
        </w:rPr>
        <w:t xml:space="preserve"> </w:t>
      </w:r>
      <w:r w:rsidRPr="00CD4A0C">
        <w:rPr>
          <w:rFonts w:cstheme="minorHAnsi"/>
        </w:rPr>
        <w:t xml:space="preserve">decision-making across topics such as network topography, security capabilities, and leveraging </w:t>
      </w:r>
      <w:r>
        <w:rPr>
          <w:rFonts w:cstheme="minorHAnsi"/>
        </w:rPr>
        <w:t>security and compliance</w:t>
      </w:r>
      <w:r w:rsidRPr="00CD4A0C">
        <w:rPr>
          <w:rFonts w:cstheme="minorHAnsi"/>
        </w:rPr>
        <w:t xml:space="preserve"> to safely enable </w:t>
      </w:r>
      <w:proofErr w:type="spellStart"/>
      <w:r>
        <w:rPr>
          <w:rFonts w:cstheme="minorHAnsi"/>
        </w:rPr>
        <w:t>GxP</w:t>
      </w:r>
      <w:proofErr w:type="spellEnd"/>
      <w:r>
        <w:rPr>
          <w:rFonts w:cstheme="minorHAnsi"/>
        </w:rPr>
        <w:t xml:space="preserve"> </w:t>
      </w:r>
      <w:r w:rsidRPr="00CD4A0C">
        <w:rPr>
          <w:rFonts w:cstheme="minorHAnsi"/>
        </w:rPr>
        <w:t xml:space="preserve">business </w:t>
      </w:r>
      <w:r w:rsidR="00E91F7B">
        <w:rPr>
          <w:rFonts w:cstheme="minorHAnsi"/>
        </w:rPr>
        <w:t>operations</w:t>
      </w:r>
      <w:r>
        <w:rPr>
          <w:rFonts w:cstheme="minorHAnsi"/>
        </w:rPr>
        <w:t xml:space="preserve"> </w:t>
      </w:r>
      <w:r w:rsidRPr="00CD4A0C">
        <w:rPr>
          <w:rFonts w:cstheme="minorHAnsi"/>
        </w:rPr>
        <w:t xml:space="preserve">in the cloud. </w:t>
      </w:r>
      <w:r>
        <w:rPr>
          <w:rFonts w:cstheme="minorHAnsi"/>
        </w:rPr>
        <w:t xml:space="preserve">  </w:t>
      </w:r>
    </w:p>
    <w:p w14:paraId="34A8C621" w14:textId="08F5D950" w:rsidR="00593576" w:rsidRDefault="004C1B9D" w:rsidP="00425BB4">
      <w:pPr>
        <w:pStyle w:val="BodyText"/>
        <w:jc w:val="both"/>
        <w:rPr>
          <w:rFonts w:cstheme="minorHAnsi"/>
        </w:rPr>
      </w:pPr>
      <w:r>
        <w:rPr>
          <w:rFonts w:cstheme="minorHAnsi"/>
        </w:rPr>
        <w:t>In general, many of these control requirements are typical and consistent with other types of non-cloud technology implementations.</w:t>
      </w:r>
    </w:p>
    <w:p w14:paraId="49C5A047" w14:textId="38DF3131" w:rsidR="009811DC" w:rsidRPr="009811DC" w:rsidRDefault="009811DC" w:rsidP="009811DC">
      <w:pPr>
        <w:pStyle w:val="BodyText"/>
        <w:jc w:val="both"/>
        <w:rPr>
          <w:rFonts w:cstheme="minorHAnsi"/>
        </w:rPr>
      </w:pPr>
      <w:r w:rsidRPr="009811DC">
        <w:rPr>
          <w:rFonts w:cstheme="minorHAnsi"/>
        </w:rPr>
        <w:t xml:space="preserve">Implementation of cloud security is best viewed through a “shared responsibility model” which can be applied very differently than in a traditional </w:t>
      </w:r>
      <w:r w:rsidR="005F386A" w:rsidRPr="009811DC">
        <w:rPr>
          <w:rFonts w:cstheme="minorHAnsi"/>
        </w:rPr>
        <w:t>on-premises</w:t>
      </w:r>
      <w:r w:rsidRPr="009811DC">
        <w:rPr>
          <w:rFonts w:cstheme="minorHAnsi"/>
        </w:rPr>
        <w:t xml:space="preserve"> datacenter model.  Security in general requires applying layers on top of layers to maximize protection (many of these layers are briefly described in this document).   This is needed regardless of whether we are in the cloud or a more traditional architecture.   However, cloud implementations require that at least several of these layers are done as part of a shared model by the cloud provider or broker, as opposed to the more traditional ownership models.   Security delegated to the cloud provider/broker still requires oversight from the customer including:</w:t>
      </w:r>
    </w:p>
    <w:p w14:paraId="3DA297CA" w14:textId="42F1B02A" w:rsidR="009811DC" w:rsidRPr="009811DC" w:rsidRDefault="009811DC" w:rsidP="009811DC">
      <w:pPr>
        <w:pStyle w:val="BodyText"/>
        <w:numPr>
          <w:ilvl w:val="0"/>
          <w:numId w:val="32"/>
        </w:numPr>
        <w:jc w:val="both"/>
        <w:rPr>
          <w:rFonts w:cstheme="minorHAnsi"/>
        </w:rPr>
      </w:pPr>
      <w:r w:rsidRPr="009811DC">
        <w:rPr>
          <w:rFonts w:cstheme="minorHAnsi"/>
        </w:rPr>
        <w:t>Customers should assess the quality of the controls that cloud providers use to meet their responsibilities.</w:t>
      </w:r>
    </w:p>
    <w:p w14:paraId="21A5EB9D" w14:textId="77777777" w:rsidR="009811DC" w:rsidRPr="009811DC" w:rsidRDefault="009811DC" w:rsidP="009811DC">
      <w:pPr>
        <w:pStyle w:val="BodyText"/>
        <w:numPr>
          <w:ilvl w:val="0"/>
          <w:numId w:val="32"/>
        </w:numPr>
        <w:jc w:val="both"/>
        <w:rPr>
          <w:rFonts w:cstheme="minorHAnsi"/>
        </w:rPr>
      </w:pPr>
      <w:r w:rsidRPr="009811DC">
        <w:rPr>
          <w:rFonts w:cstheme="minorHAnsi"/>
        </w:rPr>
        <w:t>Customers should seek to understand the full set of controls that are providing security -- it’s the design and operation of some controls that are the responsibility of the cloud provider.</w:t>
      </w:r>
    </w:p>
    <w:p w14:paraId="754CA798" w14:textId="54FBF7A4" w:rsidR="009811DC" w:rsidRPr="009811DC" w:rsidRDefault="009811DC" w:rsidP="009811DC">
      <w:pPr>
        <w:pStyle w:val="BodyText"/>
        <w:numPr>
          <w:ilvl w:val="0"/>
          <w:numId w:val="32"/>
        </w:numPr>
        <w:jc w:val="both"/>
        <w:rPr>
          <w:rFonts w:cstheme="minorHAnsi"/>
        </w:rPr>
      </w:pPr>
      <w:r w:rsidRPr="009811DC">
        <w:rPr>
          <w:rFonts w:cstheme="minorHAnsi"/>
        </w:rPr>
        <w:t>Cloud providers often publish reports that cover their expectation of controls on the customer side (user entity controls).  Customers should ask for those and understand what the cloud provider sees as out-of-scope for their responsibility.</w:t>
      </w:r>
    </w:p>
    <w:p w14:paraId="0FC18F54" w14:textId="40B54410" w:rsidR="009811DC" w:rsidRPr="009811DC" w:rsidRDefault="009811DC" w:rsidP="009811DC">
      <w:pPr>
        <w:pStyle w:val="BodyText"/>
        <w:jc w:val="both"/>
        <w:rPr>
          <w:rFonts w:cstheme="minorHAnsi"/>
        </w:rPr>
      </w:pPr>
      <w:r w:rsidRPr="009811DC">
        <w:rPr>
          <w:rFonts w:cstheme="minorHAnsi"/>
        </w:rPr>
        <w:t>Some additional points regarding cloud security which may differentiate it from more classical arrangements:</w:t>
      </w:r>
    </w:p>
    <w:p w14:paraId="0FA43906" w14:textId="78092131" w:rsidR="009811DC" w:rsidRPr="009811DC" w:rsidRDefault="009811DC" w:rsidP="009811DC">
      <w:pPr>
        <w:pStyle w:val="BodyText"/>
        <w:numPr>
          <w:ilvl w:val="0"/>
          <w:numId w:val="33"/>
        </w:numPr>
        <w:jc w:val="both"/>
        <w:rPr>
          <w:rFonts w:cstheme="minorHAnsi"/>
        </w:rPr>
      </w:pPr>
      <w:r w:rsidRPr="009811DC">
        <w:rPr>
          <w:rFonts w:cstheme="minorHAnsi"/>
        </w:rPr>
        <w:t>As noted, Cloud is shared responsibility model. Much is handled by the Cloud Provider/Broker that the Cloud Consumer is not responsible for.  This responsibility of the customer reduces even more as we move from IaaS to PaaS and SaaS.  However, a careful security design is required for cloud as equally as on premise.</w:t>
      </w:r>
    </w:p>
    <w:p w14:paraId="2A2C54CD" w14:textId="3E45F09C" w:rsidR="009811DC" w:rsidRPr="009811DC" w:rsidRDefault="009811DC" w:rsidP="009811DC">
      <w:pPr>
        <w:pStyle w:val="BodyText"/>
        <w:numPr>
          <w:ilvl w:val="0"/>
          <w:numId w:val="33"/>
        </w:numPr>
        <w:jc w:val="both"/>
        <w:rPr>
          <w:rFonts w:cstheme="minorHAnsi"/>
        </w:rPr>
      </w:pPr>
      <w:r w:rsidRPr="009811DC">
        <w:rPr>
          <w:rFonts w:cstheme="minorHAnsi"/>
        </w:rPr>
        <w:t xml:space="preserve">Cloud offers </w:t>
      </w:r>
      <w:proofErr w:type="gramStart"/>
      <w:r w:rsidRPr="009811DC">
        <w:rPr>
          <w:rFonts w:cstheme="minorHAnsi"/>
        </w:rPr>
        <w:t>a number of</w:t>
      </w:r>
      <w:proofErr w:type="gramEnd"/>
      <w:r w:rsidRPr="009811DC">
        <w:rPr>
          <w:rFonts w:cstheme="minorHAnsi"/>
        </w:rPr>
        <w:t xml:space="preserve"> readily available out-of-the-box security tools that can be quickly turned-on and implemented. </w:t>
      </w:r>
    </w:p>
    <w:p w14:paraId="01BE0A1A" w14:textId="77777777" w:rsidR="009811DC" w:rsidRDefault="009811DC" w:rsidP="009811DC">
      <w:pPr>
        <w:pStyle w:val="BodyText"/>
        <w:numPr>
          <w:ilvl w:val="0"/>
          <w:numId w:val="33"/>
        </w:numPr>
        <w:jc w:val="both"/>
        <w:rPr>
          <w:rFonts w:cstheme="minorHAnsi"/>
        </w:rPr>
      </w:pPr>
      <w:r w:rsidRPr="009811DC">
        <w:rPr>
          <w:rFonts w:cstheme="minorHAnsi"/>
        </w:rPr>
        <w:t xml:space="preserve">Cloud is API based by nature. This makes automating and auditing much easier. </w:t>
      </w:r>
    </w:p>
    <w:p w14:paraId="729641D0" w14:textId="6DB129B4" w:rsidR="004C1B9D" w:rsidRPr="009811DC" w:rsidRDefault="009811DC" w:rsidP="00425BB4">
      <w:pPr>
        <w:pStyle w:val="BodyText"/>
        <w:numPr>
          <w:ilvl w:val="0"/>
          <w:numId w:val="33"/>
        </w:numPr>
        <w:jc w:val="both"/>
        <w:rPr>
          <w:rFonts w:cstheme="minorHAnsi"/>
        </w:rPr>
      </w:pPr>
      <w:r w:rsidRPr="009811DC">
        <w:rPr>
          <w:rFonts w:cstheme="minorHAnsi"/>
        </w:rPr>
        <w:t xml:space="preserve">Public cloud </w:t>
      </w:r>
      <w:r w:rsidR="003B03C7">
        <w:rPr>
          <w:rFonts w:cstheme="minorHAnsi"/>
        </w:rPr>
        <w:t xml:space="preserve">has </w:t>
      </w:r>
      <w:r w:rsidRPr="009811DC">
        <w:rPr>
          <w:rFonts w:cstheme="minorHAnsi"/>
        </w:rPr>
        <w:t>shared tenancy requiring additional controls irrespective of fencing the environment and/or connecting back to the company network.</w:t>
      </w:r>
    </w:p>
    <w:p w14:paraId="3D8BFE41" w14:textId="77777777" w:rsidR="00472015" w:rsidRDefault="00472015">
      <w:pPr>
        <w:rPr>
          <w:rFonts w:cstheme="minorHAnsi"/>
        </w:rPr>
      </w:pPr>
      <w:r>
        <w:rPr>
          <w:rFonts w:cstheme="minorHAnsi"/>
        </w:rPr>
        <w:br w:type="page"/>
      </w:r>
    </w:p>
    <w:p w14:paraId="0967B584" w14:textId="1CDF4CA4" w:rsidR="00F167B3" w:rsidRDefault="00F167B3" w:rsidP="00E91F7B">
      <w:pPr>
        <w:pStyle w:val="BodyText"/>
        <w:jc w:val="both"/>
        <w:rPr>
          <w:rFonts w:cstheme="minorHAnsi"/>
        </w:rPr>
      </w:pPr>
      <w:r>
        <w:rPr>
          <w:rFonts w:cstheme="minorHAnsi"/>
        </w:rPr>
        <w:t>As such</w:t>
      </w:r>
      <w:r w:rsidR="00E91F7B">
        <w:rPr>
          <w:rFonts w:cstheme="minorHAnsi"/>
        </w:rPr>
        <w:t>,</w:t>
      </w:r>
      <w:r>
        <w:rPr>
          <w:rFonts w:cstheme="minorHAnsi"/>
        </w:rPr>
        <w:t xml:space="preserve"> the adoption of cloud </w:t>
      </w:r>
      <w:r w:rsidR="00E91F7B">
        <w:rPr>
          <w:rFonts w:cstheme="minorHAnsi"/>
        </w:rPr>
        <w:t>for</w:t>
      </w:r>
      <w:r>
        <w:rPr>
          <w:rFonts w:cstheme="minorHAnsi"/>
        </w:rPr>
        <w:t xml:space="preserve"> </w:t>
      </w:r>
      <w:proofErr w:type="spellStart"/>
      <w:r>
        <w:rPr>
          <w:rFonts w:cstheme="minorHAnsi"/>
        </w:rPr>
        <w:t>GxP</w:t>
      </w:r>
      <w:proofErr w:type="spellEnd"/>
      <w:r>
        <w:rPr>
          <w:rFonts w:cstheme="minorHAnsi"/>
        </w:rPr>
        <w:t xml:space="preserve"> </w:t>
      </w:r>
      <w:r w:rsidR="00E91F7B">
        <w:rPr>
          <w:rFonts w:cstheme="minorHAnsi"/>
        </w:rPr>
        <w:t xml:space="preserve">operations </w:t>
      </w:r>
      <w:proofErr w:type="gramStart"/>
      <w:r>
        <w:rPr>
          <w:rFonts w:cstheme="minorHAnsi"/>
        </w:rPr>
        <w:t>has to</w:t>
      </w:r>
      <w:proofErr w:type="gramEnd"/>
      <w:r>
        <w:rPr>
          <w:rFonts w:cstheme="minorHAnsi"/>
        </w:rPr>
        <w:t xml:space="preserve"> consider implementation-specific security requirements in order to bring the business value to </w:t>
      </w:r>
      <w:r w:rsidRPr="00E91F7B">
        <w:rPr>
          <w:rFonts w:cstheme="minorHAnsi"/>
        </w:rPr>
        <w:t xml:space="preserve">the </w:t>
      </w:r>
      <w:r w:rsidR="00E91F7B" w:rsidRPr="00E91F7B">
        <w:rPr>
          <w:rFonts w:cstheme="minorHAnsi"/>
        </w:rPr>
        <w:t>Cloud Service C</w:t>
      </w:r>
      <w:r w:rsidR="000F5E54" w:rsidRPr="00E91F7B">
        <w:rPr>
          <w:rFonts w:cstheme="minorHAnsi"/>
        </w:rPr>
        <w:t>ustomer</w:t>
      </w:r>
      <w:r w:rsidRPr="00E91F7B">
        <w:rPr>
          <w:rFonts w:cstheme="minorHAnsi"/>
        </w:rPr>
        <w:t xml:space="preserve">, and the broader security considerations to protect the assets and intellectual property of the </w:t>
      </w:r>
      <w:r w:rsidR="00E91F7B" w:rsidRPr="00E91F7B">
        <w:rPr>
          <w:rFonts w:cstheme="minorHAnsi"/>
        </w:rPr>
        <w:t>Cloud Service C</w:t>
      </w:r>
      <w:r w:rsidR="000F5E54" w:rsidRPr="00E91F7B">
        <w:rPr>
          <w:rFonts w:cstheme="minorHAnsi"/>
        </w:rPr>
        <w:t>ustomer</w:t>
      </w:r>
      <w:r w:rsidRPr="00E91F7B">
        <w:rPr>
          <w:rFonts w:cstheme="minorHAnsi"/>
        </w:rPr>
        <w:t>.</w:t>
      </w:r>
    </w:p>
    <w:p w14:paraId="6AAB3130" w14:textId="700A19B0" w:rsidR="00F167B3" w:rsidRPr="002E79F2" w:rsidRDefault="00F167B3" w:rsidP="006F0A05">
      <w:pPr>
        <w:pStyle w:val="BodyText"/>
        <w:ind w:left="720"/>
        <w:jc w:val="both"/>
        <w:rPr>
          <w:rFonts w:cstheme="minorHAnsi"/>
        </w:rPr>
      </w:pPr>
      <w:r w:rsidRPr="00762BDC">
        <w:rPr>
          <w:rFonts w:cstheme="minorHAnsi"/>
          <w:u w:val="single"/>
        </w:rPr>
        <w:t>Implementation specific Security Requirements</w:t>
      </w:r>
      <w:r>
        <w:rPr>
          <w:rFonts w:cstheme="minorHAnsi"/>
        </w:rPr>
        <w:t xml:space="preserve"> – These considerations are typically aligned to the requirement artifacts created as part of the SDLC p</w:t>
      </w:r>
      <w:r w:rsidR="00E91F7B">
        <w:rPr>
          <w:rFonts w:cstheme="minorHAnsi"/>
        </w:rPr>
        <w:t>rocess</w:t>
      </w:r>
      <w:r w:rsidR="004D2B9A">
        <w:rPr>
          <w:rFonts w:cstheme="minorHAnsi"/>
        </w:rPr>
        <w:t>.</w:t>
      </w:r>
      <w:r>
        <w:rPr>
          <w:rFonts w:cstheme="minorHAnsi"/>
        </w:rPr>
        <w:t xml:space="preserve"> This may include both technical controls required for the implementation (i.e.</w:t>
      </w:r>
      <w:r w:rsidR="00E91F7B">
        <w:rPr>
          <w:rFonts w:cstheme="minorHAnsi"/>
        </w:rPr>
        <w:t>, authentication</w:t>
      </w:r>
      <w:r>
        <w:rPr>
          <w:rFonts w:cstheme="minorHAnsi"/>
        </w:rPr>
        <w:t xml:space="preserve"> methods</w:t>
      </w:r>
      <w:r w:rsidR="004D2B9A">
        <w:rPr>
          <w:rFonts w:cstheme="minorHAnsi"/>
        </w:rPr>
        <w:t xml:space="preserve"> such as 2F</w:t>
      </w:r>
      <w:r>
        <w:rPr>
          <w:rFonts w:cstheme="minorHAnsi"/>
        </w:rPr>
        <w:t xml:space="preserve">), but also user-based or other types of functional security requirements.  This may include such items as security profiles to properly implement segregation of duties, requirements around maintaining data integrity, or privileged user access profiles.  </w:t>
      </w:r>
    </w:p>
    <w:p w14:paraId="448AED08" w14:textId="275416A7" w:rsidR="00F167B3" w:rsidRPr="001A0547" w:rsidRDefault="00F167B3" w:rsidP="006F0A05">
      <w:pPr>
        <w:pStyle w:val="BodyText"/>
        <w:ind w:left="720"/>
        <w:jc w:val="both"/>
        <w:rPr>
          <w:rFonts w:cstheme="minorHAnsi"/>
        </w:rPr>
      </w:pPr>
      <w:r w:rsidRPr="001A0547">
        <w:rPr>
          <w:rFonts w:cstheme="minorHAnsi"/>
          <w:u w:val="single"/>
        </w:rPr>
        <w:t>Cloud Security Requirements</w:t>
      </w:r>
      <w:r w:rsidRPr="001A0547">
        <w:rPr>
          <w:rFonts w:cstheme="minorHAnsi"/>
        </w:rPr>
        <w:t xml:space="preserve"> – Overall security infrastructure </w:t>
      </w:r>
      <w:r w:rsidR="00E91F7B" w:rsidRPr="001A0547">
        <w:rPr>
          <w:rFonts w:cstheme="minorHAnsi"/>
        </w:rPr>
        <w:t>considerations take</w:t>
      </w:r>
      <w:r w:rsidRPr="001A0547">
        <w:rPr>
          <w:rFonts w:cstheme="minorHAnsi"/>
        </w:rPr>
        <w:t xml:space="preserve"> a broader look at the overall security picture and their core elements </w:t>
      </w:r>
      <w:proofErr w:type="gramStart"/>
      <w:r w:rsidRPr="001A0547">
        <w:rPr>
          <w:rFonts w:cstheme="minorHAnsi"/>
        </w:rPr>
        <w:t>in order to</w:t>
      </w:r>
      <w:proofErr w:type="gramEnd"/>
      <w:r w:rsidRPr="001A0547">
        <w:rPr>
          <w:rFonts w:cstheme="minorHAnsi"/>
        </w:rPr>
        <w:t xml:space="preserve"> properly protect information and assets.  </w:t>
      </w:r>
      <w:r w:rsidR="00E91F7B" w:rsidRPr="00E91F7B">
        <w:rPr>
          <w:rFonts w:cstheme="minorHAnsi"/>
        </w:rPr>
        <w:t>Cloud S</w:t>
      </w:r>
      <w:r w:rsidR="001A0547" w:rsidRPr="00E91F7B">
        <w:rPr>
          <w:rFonts w:cstheme="minorHAnsi"/>
        </w:rPr>
        <w:t xml:space="preserve">ervice </w:t>
      </w:r>
      <w:r w:rsidR="00E91F7B" w:rsidRPr="00E91F7B">
        <w:rPr>
          <w:rFonts w:cstheme="minorHAnsi"/>
        </w:rPr>
        <w:t>C</w:t>
      </w:r>
      <w:r w:rsidR="001A0547" w:rsidRPr="00E91F7B">
        <w:rPr>
          <w:rFonts w:cstheme="minorHAnsi"/>
        </w:rPr>
        <w:t>ustomer</w:t>
      </w:r>
      <w:r w:rsidR="00E91F7B" w:rsidRPr="00E91F7B">
        <w:rPr>
          <w:rFonts w:cstheme="minorHAnsi"/>
        </w:rPr>
        <w:t>s</w:t>
      </w:r>
      <w:r w:rsidR="001A0547" w:rsidRPr="00E91F7B">
        <w:rPr>
          <w:rFonts w:cstheme="minorHAnsi"/>
        </w:rPr>
        <w:t xml:space="preserve"> </w:t>
      </w:r>
      <w:r w:rsidRPr="00E91F7B">
        <w:rPr>
          <w:rFonts w:cstheme="minorHAnsi"/>
        </w:rPr>
        <w:t xml:space="preserve">will need to evaluate their enterprise information security infrastructure </w:t>
      </w:r>
      <w:r w:rsidR="00E91F7B" w:rsidRPr="00E91F7B">
        <w:rPr>
          <w:rFonts w:cstheme="minorHAnsi"/>
        </w:rPr>
        <w:t>at</w:t>
      </w:r>
      <w:r w:rsidRPr="00E91F7B">
        <w:rPr>
          <w:rFonts w:cstheme="minorHAnsi"/>
        </w:rPr>
        <w:t xml:space="preserve"> many of their core elements to ensure that their adoption of a </w:t>
      </w:r>
      <w:r w:rsidR="00E91F7B" w:rsidRPr="00E91F7B">
        <w:rPr>
          <w:rFonts w:cstheme="minorHAnsi"/>
        </w:rPr>
        <w:t>C</w:t>
      </w:r>
      <w:r w:rsidRPr="00E91F7B">
        <w:rPr>
          <w:rFonts w:cstheme="minorHAnsi"/>
        </w:rPr>
        <w:t>loud</w:t>
      </w:r>
      <w:r w:rsidR="00E91F7B" w:rsidRPr="00E91F7B">
        <w:rPr>
          <w:rFonts w:cstheme="minorHAnsi"/>
        </w:rPr>
        <w:t xml:space="preserve"> S</w:t>
      </w:r>
      <w:r w:rsidR="001A0547" w:rsidRPr="00E91F7B">
        <w:rPr>
          <w:rFonts w:cstheme="minorHAnsi"/>
        </w:rPr>
        <w:t xml:space="preserve">ervice </w:t>
      </w:r>
      <w:r w:rsidR="00E91F7B" w:rsidRPr="00E91F7B">
        <w:rPr>
          <w:rFonts w:cstheme="minorHAnsi"/>
        </w:rPr>
        <w:t>P</w:t>
      </w:r>
      <w:r w:rsidRPr="00E91F7B">
        <w:rPr>
          <w:rFonts w:cstheme="minorHAnsi"/>
        </w:rPr>
        <w:t xml:space="preserve">rovider is fully vetted.  </w:t>
      </w:r>
      <w:r w:rsidR="004D2B9A">
        <w:rPr>
          <w:rFonts w:cstheme="minorHAnsi"/>
        </w:rPr>
        <w:t>The evaluation typically includes the assessment of available external certifications (HIPPA, Socs, ISO).</w:t>
      </w:r>
    </w:p>
    <w:p w14:paraId="20B429A5" w14:textId="74DF047C" w:rsidR="00F167B3" w:rsidRPr="00E95615" w:rsidRDefault="00F167B3" w:rsidP="006F0A05">
      <w:pPr>
        <w:pStyle w:val="BodyText"/>
        <w:ind w:left="720"/>
        <w:jc w:val="both"/>
        <w:rPr>
          <w:rFonts w:cstheme="minorHAnsi"/>
        </w:rPr>
      </w:pPr>
      <w:r w:rsidRPr="00A231DB">
        <w:rPr>
          <w:rFonts w:cstheme="minorHAnsi"/>
          <w:u w:val="single"/>
        </w:rPr>
        <w:t>Internet</w:t>
      </w:r>
      <w:r w:rsidR="00554F70">
        <w:rPr>
          <w:rFonts w:cstheme="minorHAnsi"/>
          <w:u w:val="single"/>
        </w:rPr>
        <w:t xml:space="preserve"> </w:t>
      </w:r>
      <w:r>
        <w:rPr>
          <w:rFonts w:cstheme="minorHAnsi"/>
        </w:rPr>
        <w:t xml:space="preserve">- </w:t>
      </w:r>
      <w:r w:rsidRPr="00E95615">
        <w:rPr>
          <w:rFonts w:cstheme="minorHAnsi"/>
        </w:rPr>
        <w:t>Internet connection points</w:t>
      </w:r>
      <w:r>
        <w:rPr>
          <w:rFonts w:cstheme="minorHAnsi"/>
        </w:rPr>
        <w:t xml:space="preserve"> </w:t>
      </w:r>
      <w:r w:rsidRPr="00E95615">
        <w:rPr>
          <w:rFonts w:cstheme="minorHAnsi"/>
        </w:rPr>
        <w:t xml:space="preserve">facilitate several important and necessary business </w:t>
      </w:r>
      <w:r w:rsidRPr="00E91F7B">
        <w:rPr>
          <w:rFonts w:cstheme="minorHAnsi"/>
        </w:rPr>
        <w:t xml:space="preserve">processes and establish presence on the Internet from </w:t>
      </w:r>
      <w:r w:rsidR="000A36A2" w:rsidRPr="00E91F7B">
        <w:rPr>
          <w:rFonts w:cstheme="minorHAnsi"/>
        </w:rPr>
        <w:t xml:space="preserve">the perspective of users in the </w:t>
      </w:r>
      <w:r w:rsidR="00E91F7B" w:rsidRPr="00E91F7B">
        <w:rPr>
          <w:rFonts w:cstheme="minorHAnsi"/>
        </w:rPr>
        <w:t>C</w:t>
      </w:r>
      <w:r w:rsidR="001A0547" w:rsidRPr="00E91F7B">
        <w:rPr>
          <w:rFonts w:cstheme="minorHAnsi"/>
        </w:rPr>
        <w:t xml:space="preserve">loud </w:t>
      </w:r>
      <w:r w:rsidR="00E91F7B" w:rsidRPr="00E91F7B">
        <w:rPr>
          <w:rFonts w:cstheme="minorHAnsi"/>
        </w:rPr>
        <w:t>Service C</w:t>
      </w:r>
      <w:r w:rsidR="001A0547" w:rsidRPr="00E91F7B">
        <w:rPr>
          <w:rFonts w:cstheme="minorHAnsi"/>
        </w:rPr>
        <w:t>ustomer</w:t>
      </w:r>
      <w:r w:rsidR="000A36A2" w:rsidRPr="00E91F7B">
        <w:rPr>
          <w:rFonts w:cstheme="minorHAnsi"/>
        </w:rPr>
        <w:t>, the</w:t>
      </w:r>
      <w:r w:rsidR="00E91F7B">
        <w:rPr>
          <w:rFonts w:cstheme="minorHAnsi"/>
        </w:rPr>
        <w:t xml:space="preserve"> Cloud Service </w:t>
      </w:r>
      <w:proofErr w:type="gramStart"/>
      <w:r w:rsidR="00E91F7B">
        <w:rPr>
          <w:rFonts w:cstheme="minorHAnsi"/>
        </w:rPr>
        <w:t>Broker</w:t>
      </w:r>
      <w:proofErr w:type="gramEnd"/>
      <w:r w:rsidR="00E91F7B">
        <w:rPr>
          <w:rFonts w:cstheme="minorHAnsi"/>
        </w:rPr>
        <w:t xml:space="preserve"> and the Cloud Service P</w:t>
      </w:r>
      <w:r w:rsidR="000A36A2">
        <w:rPr>
          <w:rFonts w:cstheme="minorHAnsi"/>
        </w:rPr>
        <w:t>rovider</w:t>
      </w:r>
      <w:r w:rsidRPr="00E95615">
        <w:rPr>
          <w:rFonts w:cstheme="minorHAnsi"/>
        </w:rPr>
        <w:t>. Elemen</w:t>
      </w:r>
      <w:r w:rsidR="000A36A2">
        <w:rPr>
          <w:rFonts w:cstheme="minorHAnsi"/>
        </w:rPr>
        <w:t>ts of security protection in this</w:t>
      </w:r>
      <w:r>
        <w:rPr>
          <w:rFonts w:cstheme="minorHAnsi"/>
        </w:rPr>
        <w:t xml:space="preserve"> </w:t>
      </w:r>
      <w:r w:rsidR="008E48B2">
        <w:rPr>
          <w:rFonts w:cstheme="minorHAnsi"/>
        </w:rPr>
        <w:t>regard</w:t>
      </w:r>
      <w:r w:rsidRPr="00E95615">
        <w:rPr>
          <w:rFonts w:cstheme="minorHAnsi"/>
        </w:rPr>
        <w:t xml:space="preserve"> include:</w:t>
      </w:r>
    </w:p>
    <w:p w14:paraId="3AAE5B56" w14:textId="77777777" w:rsidR="00F167B3" w:rsidRPr="00E95615" w:rsidRDefault="00F167B3" w:rsidP="00670620">
      <w:pPr>
        <w:pStyle w:val="ListParagraph"/>
        <w:numPr>
          <w:ilvl w:val="0"/>
          <w:numId w:val="7"/>
        </w:numPr>
        <w:ind w:left="1800"/>
        <w:jc w:val="both"/>
        <w:rPr>
          <w:rFonts w:cstheme="minorHAnsi"/>
        </w:rPr>
      </w:pPr>
      <w:r w:rsidRPr="00E95615">
        <w:rPr>
          <w:rFonts w:cstheme="minorHAnsi"/>
        </w:rPr>
        <w:t>Distributed Denial of Service (DDoS) Protection (protection from bandwidth consumption</w:t>
      </w:r>
      <w:r>
        <w:rPr>
          <w:rFonts w:cstheme="minorHAnsi"/>
        </w:rPr>
        <w:t xml:space="preserve"> </w:t>
      </w:r>
      <w:r w:rsidRPr="00E95615">
        <w:rPr>
          <w:rFonts w:cstheme="minorHAnsi"/>
        </w:rPr>
        <w:t>attacks)</w:t>
      </w:r>
    </w:p>
    <w:p w14:paraId="4DF2B527" w14:textId="77777777" w:rsidR="00F167B3" w:rsidRPr="00E95615" w:rsidRDefault="00F167B3" w:rsidP="00670620">
      <w:pPr>
        <w:pStyle w:val="ListParagraph"/>
        <w:numPr>
          <w:ilvl w:val="0"/>
          <w:numId w:val="7"/>
        </w:numPr>
        <w:ind w:left="1800"/>
        <w:jc w:val="both"/>
        <w:rPr>
          <w:rFonts w:cstheme="minorHAnsi"/>
        </w:rPr>
      </w:pPr>
      <w:r w:rsidRPr="00E95615">
        <w:rPr>
          <w:rFonts w:cstheme="minorHAnsi"/>
        </w:rPr>
        <w:t>Web Application Firewall to protect publicly facing websites from various methods of attack</w:t>
      </w:r>
      <w:r>
        <w:rPr>
          <w:rFonts w:cstheme="minorHAnsi"/>
        </w:rPr>
        <w:t xml:space="preserve"> </w:t>
      </w:r>
      <w:r w:rsidRPr="00E95615">
        <w:rPr>
          <w:rFonts w:cstheme="minorHAnsi"/>
        </w:rPr>
        <w:t>(hacking, defacement, etc.)</w:t>
      </w:r>
    </w:p>
    <w:p w14:paraId="731C7ADF" w14:textId="77777777" w:rsidR="00F167B3" w:rsidRPr="00E95615" w:rsidRDefault="00F167B3" w:rsidP="00670620">
      <w:pPr>
        <w:pStyle w:val="ListParagraph"/>
        <w:numPr>
          <w:ilvl w:val="0"/>
          <w:numId w:val="7"/>
        </w:numPr>
        <w:ind w:left="1800"/>
        <w:jc w:val="both"/>
        <w:rPr>
          <w:rFonts w:cstheme="minorHAnsi"/>
        </w:rPr>
      </w:pPr>
      <w:r w:rsidRPr="00E95615">
        <w:rPr>
          <w:rFonts w:cstheme="minorHAnsi"/>
        </w:rPr>
        <w:t>Guest Wireless Access to the public Internet</w:t>
      </w:r>
    </w:p>
    <w:p w14:paraId="26A2B7D2" w14:textId="77777777" w:rsidR="00F167B3" w:rsidRDefault="00F167B3" w:rsidP="00670620">
      <w:pPr>
        <w:pStyle w:val="ListParagraph"/>
        <w:numPr>
          <w:ilvl w:val="0"/>
          <w:numId w:val="7"/>
        </w:numPr>
        <w:ind w:left="1800"/>
        <w:jc w:val="both"/>
        <w:rPr>
          <w:rFonts w:cstheme="minorHAnsi"/>
        </w:rPr>
      </w:pPr>
      <w:r w:rsidRPr="00E95615">
        <w:rPr>
          <w:rFonts w:cstheme="minorHAnsi"/>
        </w:rPr>
        <w:t>Secure remote access to the network for employee</w:t>
      </w:r>
      <w:r>
        <w:rPr>
          <w:rFonts w:cstheme="minorHAnsi"/>
        </w:rPr>
        <w:t>s</w:t>
      </w:r>
    </w:p>
    <w:p w14:paraId="4B72C20A" w14:textId="77777777" w:rsidR="00F167B3" w:rsidRDefault="00F167B3" w:rsidP="00670620">
      <w:pPr>
        <w:pStyle w:val="ListParagraph"/>
        <w:numPr>
          <w:ilvl w:val="0"/>
          <w:numId w:val="7"/>
        </w:numPr>
        <w:ind w:left="1800"/>
        <w:jc w:val="both"/>
        <w:rPr>
          <w:rFonts w:cstheme="minorHAnsi"/>
        </w:rPr>
      </w:pPr>
      <w:r w:rsidRPr="00E95615">
        <w:rPr>
          <w:rFonts w:cstheme="minorHAnsi"/>
        </w:rPr>
        <w:t>General access to pub</w:t>
      </w:r>
      <w:r>
        <w:rPr>
          <w:rFonts w:cstheme="minorHAnsi"/>
        </w:rPr>
        <w:t xml:space="preserve">lic and partner facing </w:t>
      </w:r>
      <w:proofErr w:type="gramStart"/>
      <w:r>
        <w:rPr>
          <w:rFonts w:cstheme="minorHAnsi"/>
        </w:rPr>
        <w:t>websites</w:t>
      </w:r>
      <w:proofErr w:type="gramEnd"/>
    </w:p>
    <w:p w14:paraId="0C8ACFCE" w14:textId="77777777" w:rsidR="00F167B3" w:rsidRPr="00E95615" w:rsidRDefault="00F167B3" w:rsidP="00670620">
      <w:pPr>
        <w:pStyle w:val="ListParagraph"/>
        <w:numPr>
          <w:ilvl w:val="0"/>
          <w:numId w:val="7"/>
        </w:numPr>
        <w:ind w:left="1800"/>
        <w:jc w:val="both"/>
        <w:rPr>
          <w:rFonts w:cstheme="minorHAnsi"/>
        </w:rPr>
      </w:pPr>
      <w:r>
        <w:rPr>
          <w:rFonts w:cstheme="minorHAnsi"/>
        </w:rPr>
        <w:t>Third Party</w:t>
      </w:r>
      <w:r w:rsidRPr="00E95615">
        <w:rPr>
          <w:rFonts w:cstheme="minorHAnsi"/>
        </w:rPr>
        <w:t xml:space="preserve"> Services (connections to third parties)</w:t>
      </w:r>
    </w:p>
    <w:p w14:paraId="4452C0F7" w14:textId="715D9771" w:rsidR="006A0174" w:rsidRDefault="00F167B3" w:rsidP="00670620">
      <w:pPr>
        <w:pStyle w:val="ListParagraph"/>
        <w:numPr>
          <w:ilvl w:val="0"/>
          <w:numId w:val="7"/>
        </w:numPr>
        <w:ind w:left="1800"/>
        <w:jc w:val="both"/>
        <w:rPr>
          <w:rFonts w:cstheme="minorHAnsi"/>
        </w:rPr>
      </w:pPr>
      <w:r w:rsidRPr="00E95615">
        <w:rPr>
          <w:rFonts w:cstheme="minorHAnsi"/>
        </w:rPr>
        <w:t>Website Vulnerability Scanning</w:t>
      </w:r>
      <w:r w:rsidR="00A7029A">
        <w:rPr>
          <w:rFonts w:cstheme="minorHAnsi"/>
        </w:rPr>
        <w:t>.</w:t>
      </w:r>
    </w:p>
    <w:p w14:paraId="2E87C6CF" w14:textId="77777777" w:rsidR="006A0174" w:rsidRDefault="006A0174">
      <w:pPr>
        <w:rPr>
          <w:rFonts w:cstheme="minorHAnsi"/>
        </w:rPr>
      </w:pPr>
      <w:r>
        <w:rPr>
          <w:rFonts w:cstheme="minorHAnsi"/>
        </w:rPr>
        <w:br w:type="page"/>
      </w:r>
    </w:p>
    <w:p w14:paraId="61398B07" w14:textId="490A4AF1" w:rsidR="00F167B3" w:rsidRPr="00E95615" w:rsidRDefault="00F167B3" w:rsidP="006F0A05">
      <w:pPr>
        <w:pStyle w:val="BodyText"/>
        <w:ind w:left="720"/>
        <w:jc w:val="both"/>
        <w:rPr>
          <w:rFonts w:cstheme="minorHAnsi"/>
        </w:rPr>
      </w:pPr>
      <w:r w:rsidRPr="00A231DB">
        <w:rPr>
          <w:rFonts w:cstheme="minorHAnsi"/>
          <w:u w:val="single"/>
        </w:rPr>
        <w:t>Perimeter</w:t>
      </w:r>
      <w:r>
        <w:rPr>
          <w:rFonts w:cstheme="minorHAnsi"/>
        </w:rPr>
        <w:t xml:space="preserve"> - </w:t>
      </w:r>
      <w:r w:rsidRPr="00E95615">
        <w:rPr>
          <w:rFonts w:cstheme="minorHAnsi"/>
        </w:rPr>
        <w:t xml:space="preserve">The perimeter region is typically defined as the secure area that resides between the public </w:t>
      </w:r>
      <w:r w:rsidRPr="00A7029A">
        <w:rPr>
          <w:rFonts w:cstheme="minorHAnsi"/>
          <w:u w:val="single"/>
        </w:rPr>
        <w:t>Internet</w:t>
      </w:r>
      <w:r w:rsidRPr="00E95615">
        <w:rPr>
          <w:rFonts w:cstheme="minorHAnsi"/>
        </w:rPr>
        <w:t xml:space="preserve"> and</w:t>
      </w:r>
      <w:r>
        <w:rPr>
          <w:rFonts w:cstheme="minorHAnsi"/>
        </w:rPr>
        <w:t xml:space="preserve"> </w:t>
      </w:r>
      <w:r w:rsidRPr="00E95615">
        <w:rPr>
          <w:rFonts w:cstheme="minorHAnsi"/>
        </w:rPr>
        <w:t xml:space="preserve">the internal </w:t>
      </w:r>
      <w:r>
        <w:rPr>
          <w:rFonts w:cstheme="minorHAnsi"/>
        </w:rPr>
        <w:t>consumer</w:t>
      </w:r>
      <w:r w:rsidRPr="00E95615">
        <w:rPr>
          <w:rFonts w:cstheme="minorHAnsi"/>
        </w:rPr>
        <w:t xml:space="preserve"> network. It is commonly referred to as a </w:t>
      </w:r>
      <w:r w:rsidR="00E5341A" w:rsidRPr="00E95615">
        <w:rPr>
          <w:rFonts w:cstheme="minorHAnsi"/>
        </w:rPr>
        <w:t>DMZ and</w:t>
      </w:r>
      <w:r w:rsidRPr="00E95615">
        <w:rPr>
          <w:rFonts w:cstheme="minorHAnsi"/>
        </w:rPr>
        <w:t xml:space="preserve"> is there to help protect </w:t>
      </w:r>
      <w:r>
        <w:rPr>
          <w:rFonts w:cstheme="minorHAnsi"/>
        </w:rPr>
        <w:t xml:space="preserve">the consumer’s </w:t>
      </w:r>
      <w:r w:rsidRPr="00E95615">
        <w:rPr>
          <w:rFonts w:cstheme="minorHAnsi"/>
        </w:rPr>
        <w:t>network from external attacks, while providing key externally facing services for the business. Elements</w:t>
      </w:r>
      <w:r>
        <w:rPr>
          <w:rFonts w:cstheme="minorHAnsi"/>
        </w:rPr>
        <w:t xml:space="preserve"> </w:t>
      </w:r>
      <w:r w:rsidRPr="00E95615">
        <w:rPr>
          <w:rFonts w:cstheme="minorHAnsi"/>
        </w:rPr>
        <w:t>of security protection in the perimeter region include</w:t>
      </w:r>
      <w:r w:rsidR="004E777B">
        <w:rPr>
          <w:rFonts w:cstheme="minorHAnsi"/>
        </w:rPr>
        <w:t xml:space="preserve"> (but not limited to)</w:t>
      </w:r>
      <w:r w:rsidRPr="00E95615">
        <w:rPr>
          <w:rFonts w:cstheme="minorHAnsi"/>
        </w:rPr>
        <w:t>:</w:t>
      </w:r>
    </w:p>
    <w:p w14:paraId="77976A66" w14:textId="77777777" w:rsidR="00F167B3" w:rsidRDefault="00F167B3" w:rsidP="00670620">
      <w:pPr>
        <w:pStyle w:val="ListParagraph"/>
        <w:numPr>
          <w:ilvl w:val="0"/>
          <w:numId w:val="7"/>
        </w:numPr>
        <w:ind w:left="1800"/>
        <w:jc w:val="both"/>
        <w:rPr>
          <w:rFonts w:cstheme="minorHAnsi"/>
        </w:rPr>
      </w:pPr>
      <w:r w:rsidRPr="00E95615">
        <w:rPr>
          <w:rFonts w:cstheme="minorHAnsi"/>
        </w:rPr>
        <w:t xml:space="preserve">Firewalls – allowing only permitted traffic into and out of the internal </w:t>
      </w:r>
      <w:proofErr w:type="gramStart"/>
      <w:r w:rsidRPr="00E95615">
        <w:rPr>
          <w:rFonts w:cstheme="minorHAnsi"/>
        </w:rPr>
        <w:t>network</w:t>
      </w:r>
      <w:proofErr w:type="gramEnd"/>
    </w:p>
    <w:p w14:paraId="06D9C99D" w14:textId="77777777" w:rsidR="00F167B3" w:rsidRPr="00E95615" w:rsidRDefault="00F167B3" w:rsidP="00670620">
      <w:pPr>
        <w:pStyle w:val="ListParagraph"/>
        <w:numPr>
          <w:ilvl w:val="0"/>
          <w:numId w:val="7"/>
        </w:numPr>
        <w:ind w:left="1800"/>
        <w:jc w:val="both"/>
        <w:rPr>
          <w:rFonts w:cstheme="minorHAnsi"/>
        </w:rPr>
      </w:pPr>
      <w:r w:rsidRPr="00E95615">
        <w:rPr>
          <w:rFonts w:cstheme="minorHAnsi"/>
        </w:rPr>
        <w:t>Intrusion Detection Services - detection and prevention of attack traffic</w:t>
      </w:r>
    </w:p>
    <w:p w14:paraId="6C183791" w14:textId="26F0A3F8" w:rsidR="00F167B3" w:rsidRPr="00E95615" w:rsidRDefault="00F167B3" w:rsidP="00670620">
      <w:pPr>
        <w:pStyle w:val="ListParagraph"/>
        <w:numPr>
          <w:ilvl w:val="0"/>
          <w:numId w:val="7"/>
        </w:numPr>
        <w:ind w:left="1800"/>
        <w:jc w:val="both"/>
        <w:rPr>
          <w:rFonts w:cstheme="minorHAnsi"/>
        </w:rPr>
      </w:pPr>
      <w:r w:rsidRPr="00E95615">
        <w:rPr>
          <w:rFonts w:cstheme="minorHAnsi"/>
        </w:rPr>
        <w:t>Secure Web Gateways and Proxies to provide a safe browsing experience for employees</w:t>
      </w:r>
      <w:r w:rsidR="007267DD">
        <w:rPr>
          <w:rFonts w:cstheme="minorHAnsi"/>
        </w:rPr>
        <w:t xml:space="preserve"> and external partners such </w:t>
      </w:r>
      <w:r w:rsidR="00E41FF5">
        <w:rPr>
          <w:rFonts w:cstheme="minorHAnsi"/>
        </w:rPr>
        <w:t xml:space="preserve">as </w:t>
      </w:r>
      <w:r w:rsidR="007267DD">
        <w:rPr>
          <w:rFonts w:cstheme="minorHAnsi"/>
        </w:rPr>
        <w:t xml:space="preserve">Health Care Providers. </w:t>
      </w:r>
      <w:r w:rsidR="00945C71">
        <w:rPr>
          <w:rFonts w:cstheme="minorHAnsi"/>
        </w:rPr>
        <w:t xml:space="preserve"> </w:t>
      </w:r>
    </w:p>
    <w:p w14:paraId="7818A3F8" w14:textId="77777777" w:rsidR="00F167B3" w:rsidRPr="00E95615" w:rsidRDefault="00F167B3" w:rsidP="00670620">
      <w:pPr>
        <w:pStyle w:val="ListParagraph"/>
        <w:numPr>
          <w:ilvl w:val="0"/>
          <w:numId w:val="7"/>
        </w:numPr>
        <w:ind w:left="1800"/>
        <w:jc w:val="both"/>
        <w:rPr>
          <w:rFonts w:cstheme="minorHAnsi"/>
        </w:rPr>
      </w:pPr>
      <w:r w:rsidRPr="00E95615">
        <w:rPr>
          <w:rFonts w:cstheme="minorHAnsi"/>
        </w:rPr>
        <w:t>Network Data Leakage Prevention (DLP) Services – detection and prevention of the</w:t>
      </w:r>
    </w:p>
    <w:p w14:paraId="64574951" w14:textId="77777777" w:rsidR="00F167B3" w:rsidRPr="00E95615" w:rsidRDefault="00F167B3" w:rsidP="00670620">
      <w:pPr>
        <w:pStyle w:val="ListParagraph"/>
        <w:numPr>
          <w:ilvl w:val="0"/>
          <w:numId w:val="7"/>
        </w:numPr>
        <w:ind w:left="1800"/>
        <w:jc w:val="both"/>
        <w:rPr>
          <w:rFonts w:cstheme="minorHAnsi"/>
        </w:rPr>
      </w:pPr>
      <w:r w:rsidRPr="00E95615">
        <w:rPr>
          <w:rFonts w:cstheme="minorHAnsi"/>
        </w:rPr>
        <w:t>Unintentional leakage of sensitive data</w:t>
      </w:r>
    </w:p>
    <w:p w14:paraId="03A49BBF" w14:textId="77777777" w:rsidR="00F167B3" w:rsidRPr="001A0547" w:rsidRDefault="00F167B3" w:rsidP="00670620">
      <w:pPr>
        <w:pStyle w:val="ListParagraph"/>
        <w:numPr>
          <w:ilvl w:val="0"/>
          <w:numId w:val="7"/>
        </w:numPr>
        <w:ind w:left="1800"/>
        <w:jc w:val="both"/>
        <w:rPr>
          <w:rFonts w:cstheme="minorHAnsi"/>
        </w:rPr>
      </w:pPr>
      <w:r w:rsidRPr="001A0547">
        <w:rPr>
          <w:rFonts w:cstheme="minorHAnsi"/>
        </w:rPr>
        <w:t>Secure Email Services</w:t>
      </w:r>
    </w:p>
    <w:p w14:paraId="5CF79067" w14:textId="77777777" w:rsidR="00F167B3" w:rsidRPr="00E95615" w:rsidRDefault="00F167B3" w:rsidP="006F0A05">
      <w:pPr>
        <w:pStyle w:val="BodyText"/>
        <w:ind w:left="720"/>
        <w:jc w:val="both"/>
        <w:rPr>
          <w:rFonts w:cstheme="minorHAnsi"/>
        </w:rPr>
      </w:pPr>
      <w:r w:rsidRPr="00A231DB">
        <w:rPr>
          <w:rFonts w:cstheme="minorHAnsi"/>
          <w:u w:val="single"/>
        </w:rPr>
        <w:t>Internal Network</w:t>
      </w:r>
      <w:r>
        <w:rPr>
          <w:rFonts w:cstheme="minorHAnsi"/>
        </w:rPr>
        <w:t xml:space="preserve"> - The</w:t>
      </w:r>
      <w:r w:rsidRPr="00E95615">
        <w:rPr>
          <w:rFonts w:cstheme="minorHAnsi"/>
        </w:rPr>
        <w:t xml:space="preserve"> internal network is primarily used to facilitate data and voice communications for various</w:t>
      </w:r>
      <w:r>
        <w:rPr>
          <w:rFonts w:cstheme="minorHAnsi"/>
        </w:rPr>
        <w:t xml:space="preserve"> </w:t>
      </w:r>
      <w:r w:rsidRPr="00E95615">
        <w:rPr>
          <w:rFonts w:cstheme="minorHAnsi"/>
        </w:rPr>
        <w:t xml:space="preserve">applications around the world. It connects corporate offices, manufacturing </w:t>
      </w:r>
      <w:r w:rsidRPr="00A7029A">
        <w:rPr>
          <w:rFonts w:cstheme="minorHAnsi"/>
        </w:rPr>
        <w:t>plants</w:t>
      </w:r>
      <w:r w:rsidRPr="00E95615">
        <w:rPr>
          <w:rFonts w:cstheme="minorHAnsi"/>
        </w:rPr>
        <w:t>, research sites and</w:t>
      </w:r>
      <w:r>
        <w:rPr>
          <w:rFonts w:cstheme="minorHAnsi"/>
        </w:rPr>
        <w:t xml:space="preserve"> </w:t>
      </w:r>
      <w:r w:rsidRPr="00E95615">
        <w:rPr>
          <w:rFonts w:cstheme="minorHAnsi"/>
        </w:rPr>
        <w:t>most of the other business areas of the company. Elements of se</w:t>
      </w:r>
      <w:r>
        <w:rPr>
          <w:rFonts w:cstheme="minorHAnsi"/>
        </w:rPr>
        <w:t xml:space="preserve">curity protection within the </w:t>
      </w:r>
      <w:r w:rsidRPr="00E95615">
        <w:rPr>
          <w:rFonts w:cstheme="minorHAnsi"/>
        </w:rPr>
        <w:t>internal network include:</w:t>
      </w:r>
    </w:p>
    <w:p w14:paraId="206BAB18" w14:textId="77777777" w:rsidR="00F167B3" w:rsidRPr="00E95615" w:rsidRDefault="00F167B3" w:rsidP="00670620">
      <w:pPr>
        <w:pStyle w:val="ListParagraph"/>
        <w:numPr>
          <w:ilvl w:val="0"/>
          <w:numId w:val="7"/>
        </w:numPr>
        <w:ind w:left="1800"/>
        <w:jc w:val="both"/>
        <w:rPr>
          <w:rFonts w:cstheme="minorHAnsi"/>
        </w:rPr>
      </w:pPr>
      <w:r w:rsidRPr="00E95615">
        <w:rPr>
          <w:rFonts w:cstheme="minorHAnsi"/>
        </w:rPr>
        <w:t>Firewalls</w:t>
      </w:r>
    </w:p>
    <w:p w14:paraId="5D8F6BDE" w14:textId="77777777" w:rsidR="00F167B3" w:rsidRPr="00E95615" w:rsidRDefault="00F167B3" w:rsidP="00670620">
      <w:pPr>
        <w:pStyle w:val="ListParagraph"/>
        <w:numPr>
          <w:ilvl w:val="0"/>
          <w:numId w:val="7"/>
        </w:numPr>
        <w:ind w:left="1800"/>
        <w:jc w:val="both"/>
        <w:rPr>
          <w:rFonts w:cstheme="minorHAnsi"/>
        </w:rPr>
      </w:pPr>
      <w:r w:rsidRPr="00E95615">
        <w:rPr>
          <w:rFonts w:cstheme="minorHAnsi"/>
        </w:rPr>
        <w:t>Network Behavioral Analysis</w:t>
      </w:r>
    </w:p>
    <w:p w14:paraId="622A0DAC" w14:textId="77777777" w:rsidR="00F167B3" w:rsidRPr="00E95615" w:rsidRDefault="00F167B3" w:rsidP="00670620">
      <w:pPr>
        <w:pStyle w:val="ListParagraph"/>
        <w:numPr>
          <w:ilvl w:val="0"/>
          <w:numId w:val="7"/>
        </w:numPr>
        <w:ind w:left="1800"/>
        <w:jc w:val="both"/>
        <w:rPr>
          <w:rFonts w:cstheme="minorHAnsi"/>
        </w:rPr>
      </w:pPr>
      <w:r w:rsidRPr="00E95615">
        <w:rPr>
          <w:rFonts w:cstheme="minorHAnsi"/>
        </w:rPr>
        <w:t xml:space="preserve">Vulnerability Scanning of most infrastructure components and </w:t>
      </w:r>
      <w:proofErr w:type="gramStart"/>
      <w:r w:rsidRPr="00E95615">
        <w:rPr>
          <w:rFonts w:cstheme="minorHAnsi"/>
        </w:rPr>
        <w:t>applications</w:t>
      </w:r>
      <w:proofErr w:type="gramEnd"/>
    </w:p>
    <w:p w14:paraId="025B5A27" w14:textId="77777777" w:rsidR="00F167B3" w:rsidRPr="001A0547" w:rsidRDefault="00F167B3" w:rsidP="00670620">
      <w:pPr>
        <w:pStyle w:val="ListParagraph"/>
        <w:numPr>
          <w:ilvl w:val="0"/>
          <w:numId w:val="7"/>
        </w:numPr>
        <w:ind w:left="1800"/>
        <w:jc w:val="both"/>
        <w:rPr>
          <w:rFonts w:cstheme="minorHAnsi"/>
        </w:rPr>
      </w:pPr>
      <w:r w:rsidRPr="001A0547">
        <w:rPr>
          <w:rFonts w:cstheme="minorHAnsi"/>
        </w:rPr>
        <w:t>Intrusion Detection Services for key manufacturing locations and application environments</w:t>
      </w:r>
    </w:p>
    <w:p w14:paraId="059E3568" w14:textId="77777777" w:rsidR="00F167B3" w:rsidRPr="00E95615" w:rsidRDefault="00F167B3" w:rsidP="00670620">
      <w:pPr>
        <w:pStyle w:val="ListParagraph"/>
        <w:numPr>
          <w:ilvl w:val="0"/>
          <w:numId w:val="7"/>
        </w:numPr>
        <w:ind w:left="1800"/>
        <w:jc w:val="both"/>
        <w:rPr>
          <w:rFonts w:cstheme="minorHAnsi"/>
        </w:rPr>
      </w:pPr>
      <w:r w:rsidRPr="00E95615">
        <w:rPr>
          <w:rFonts w:cstheme="minorHAnsi"/>
        </w:rPr>
        <w:t xml:space="preserve">Devices that connect to the </w:t>
      </w:r>
      <w:r>
        <w:rPr>
          <w:rFonts w:cstheme="minorHAnsi"/>
        </w:rPr>
        <w:t>n</w:t>
      </w:r>
      <w:r w:rsidRPr="00E95615">
        <w:rPr>
          <w:rFonts w:cstheme="minorHAnsi"/>
        </w:rPr>
        <w:t>etwork, such as employee laptops, desktops and servers require</w:t>
      </w:r>
      <w:r>
        <w:rPr>
          <w:rFonts w:cstheme="minorHAnsi"/>
        </w:rPr>
        <w:t xml:space="preserve"> </w:t>
      </w:r>
      <w:r w:rsidRPr="00E95615">
        <w:rPr>
          <w:rFonts w:cstheme="minorHAnsi"/>
        </w:rPr>
        <w:t>a good level of security protection. Elements of this endpoint security protection are:</w:t>
      </w:r>
    </w:p>
    <w:p w14:paraId="217382D8" w14:textId="77777777" w:rsidR="00F167B3" w:rsidRPr="00E95615" w:rsidRDefault="00F167B3" w:rsidP="00670620">
      <w:pPr>
        <w:pStyle w:val="BodyText"/>
        <w:numPr>
          <w:ilvl w:val="2"/>
          <w:numId w:val="11"/>
        </w:numPr>
        <w:spacing w:after="0"/>
        <w:ind w:left="2517" w:hanging="357"/>
        <w:jc w:val="both"/>
        <w:rPr>
          <w:rFonts w:cstheme="minorHAnsi"/>
        </w:rPr>
      </w:pPr>
      <w:r w:rsidRPr="00E95615">
        <w:rPr>
          <w:rFonts w:cstheme="minorHAnsi"/>
        </w:rPr>
        <w:t xml:space="preserve">Antivirus services to detect and remove malicious </w:t>
      </w:r>
      <w:proofErr w:type="gramStart"/>
      <w:r w:rsidRPr="00E95615">
        <w:rPr>
          <w:rFonts w:cstheme="minorHAnsi"/>
        </w:rPr>
        <w:t>files</w:t>
      </w:r>
      <w:proofErr w:type="gramEnd"/>
    </w:p>
    <w:p w14:paraId="676F5B71" w14:textId="77777777" w:rsidR="00F167B3" w:rsidRPr="00E95615" w:rsidRDefault="00F167B3" w:rsidP="00670620">
      <w:pPr>
        <w:pStyle w:val="BodyText"/>
        <w:numPr>
          <w:ilvl w:val="2"/>
          <w:numId w:val="11"/>
        </w:numPr>
        <w:spacing w:after="0"/>
        <w:ind w:left="2517" w:hanging="357"/>
        <w:jc w:val="both"/>
        <w:rPr>
          <w:rFonts w:cstheme="minorHAnsi"/>
        </w:rPr>
      </w:pPr>
      <w:r w:rsidRPr="00E95615">
        <w:rPr>
          <w:rFonts w:cstheme="minorHAnsi"/>
        </w:rPr>
        <w:t xml:space="preserve">Data Leakage Prevention to detect and prevent unintentional leakage of sensitive </w:t>
      </w:r>
      <w:proofErr w:type="gramStart"/>
      <w:r w:rsidRPr="00E95615">
        <w:rPr>
          <w:rFonts w:cstheme="minorHAnsi"/>
        </w:rPr>
        <w:t>data</w:t>
      </w:r>
      <w:proofErr w:type="gramEnd"/>
    </w:p>
    <w:p w14:paraId="3613FDD8" w14:textId="77777777" w:rsidR="00F167B3" w:rsidRPr="00E95615" w:rsidRDefault="00F167B3" w:rsidP="00670620">
      <w:pPr>
        <w:pStyle w:val="BodyText"/>
        <w:numPr>
          <w:ilvl w:val="2"/>
          <w:numId w:val="11"/>
        </w:numPr>
        <w:spacing w:after="0"/>
        <w:ind w:left="2517" w:hanging="357"/>
        <w:jc w:val="both"/>
        <w:rPr>
          <w:rFonts w:cstheme="minorHAnsi"/>
        </w:rPr>
      </w:pPr>
      <w:r w:rsidRPr="00E95615">
        <w:rPr>
          <w:rFonts w:cstheme="minorHAnsi"/>
        </w:rPr>
        <w:t xml:space="preserve">A Host Firewall used to control and restrict access to only permitted areas within the </w:t>
      </w:r>
      <w:proofErr w:type="gramStart"/>
      <w:r w:rsidRPr="00E95615">
        <w:rPr>
          <w:rFonts w:cstheme="minorHAnsi"/>
        </w:rPr>
        <w:t>network</w:t>
      </w:r>
      <w:proofErr w:type="gramEnd"/>
    </w:p>
    <w:p w14:paraId="37FE05F6" w14:textId="77777777" w:rsidR="00F167B3" w:rsidRPr="00E95615" w:rsidRDefault="00F167B3" w:rsidP="00670620">
      <w:pPr>
        <w:pStyle w:val="BodyText"/>
        <w:numPr>
          <w:ilvl w:val="2"/>
          <w:numId w:val="11"/>
        </w:numPr>
        <w:spacing w:after="0"/>
        <w:ind w:left="2517" w:hanging="357"/>
        <w:jc w:val="both"/>
        <w:rPr>
          <w:rFonts w:cstheme="minorHAnsi"/>
        </w:rPr>
      </w:pPr>
      <w:r w:rsidRPr="00E95615">
        <w:rPr>
          <w:rFonts w:cstheme="minorHAnsi"/>
        </w:rPr>
        <w:t>Policy Assessment</w:t>
      </w:r>
    </w:p>
    <w:p w14:paraId="27377494" w14:textId="77777777" w:rsidR="00F167B3" w:rsidRPr="001A0547" w:rsidRDefault="00F167B3" w:rsidP="00670620">
      <w:pPr>
        <w:pStyle w:val="BodyText"/>
        <w:numPr>
          <w:ilvl w:val="2"/>
          <w:numId w:val="11"/>
        </w:numPr>
        <w:spacing w:after="0"/>
        <w:ind w:left="2517" w:hanging="357"/>
        <w:jc w:val="both"/>
        <w:rPr>
          <w:rFonts w:cstheme="minorHAnsi"/>
        </w:rPr>
      </w:pPr>
      <w:r w:rsidRPr="001A0547">
        <w:rPr>
          <w:rFonts w:cstheme="minorHAnsi"/>
        </w:rPr>
        <w:t>Encryption services used primarily used to protect data in the event of loss or theft of a device,</w:t>
      </w:r>
      <w:r w:rsidR="001A0547" w:rsidRPr="001A0547">
        <w:rPr>
          <w:rFonts w:cstheme="minorHAnsi"/>
        </w:rPr>
        <w:t xml:space="preserve"> </w:t>
      </w:r>
      <w:r w:rsidRPr="001A0547">
        <w:rPr>
          <w:rFonts w:cstheme="minorHAnsi"/>
        </w:rPr>
        <w:t xml:space="preserve">and to ensure regulatory compliance where </w:t>
      </w:r>
      <w:proofErr w:type="gramStart"/>
      <w:r w:rsidRPr="001A0547">
        <w:rPr>
          <w:rFonts w:cstheme="minorHAnsi"/>
        </w:rPr>
        <w:t>mandated</w:t>
      </w:r>
      <w:proofErr w:type="gramEnd"/>
    </w:p>
    <w:p w14:paraId="15800CD0" w14:textId="77777777" w:rsidR="00F167B3" w:rsidRDefault="00F167B3" w:rsidP="00670620">
      <w:pPr>
        <w:pStyle w:val="BodyText"/>
        <w:numPr>
          <w:ilvl w:val="2"/>
          <w:numId w:val="11"/>
        </w:numPr>
        <w:spacing w:after="0"/>
        <w:ind w:left="2517" w:hanging="357"/>
        <w:jc w:val="both"/>
        <w:rPr>
          <w:rFonts w:cstheme="minorHAnsi"/>
        </w:rPr>
      </w:pPr>
      <w:r w:rsidRPr="00E95615">
        <w:rPr>
          <w:rFonts w:cstheme="minorHAnsi"/>
        </w:rPr>
        <w:t>Logging and Monitoring capabilities</w:t>
      </w:r>
      <w:r w:rsidR="00DF2B61">
        <w:rPr>
          <w:rFonts w:cstheme="minorHAnsi"/>
        </w:rPr>
        <w:t>.</w:t>
      </w:r>
    </w:p>
    <w:p w14:paraId="6C784022" w14:textId="77777777" w:rsidR="00317522" w:rsidRPr="00E95615" w:rsidRDefault="00317522" w:rsidP="00317522">
      <w:pPr>
        <w:pStyle w:val="BodyText"/>
        <w:spacing w:after="0"/>
        <w:jc w:val="both"/>
        <w:rPr>
          <w:rFonts w:cstheme="minorHAnsi"/>
        </w:rPr>
      </w:pPr>
    </w:p>
    <w:p w14:paraId="5C413782" w14:textId="77777777" w:rsidR="00F167B3" w:rsidRPr="00E95615" w:rsidRDefault="00F167B3" w:rsidP="006F0A05">
      <w:pPr>
        <w:pStyle w:val="BodyText"/>
        <w:ind w:left="720"/>
        <w:jc w:val="both"/>
        <w:rPr>
          <w:rFonts w:cstheme="minorHAnsi"/>
        </w:rPr>
      </w:pPr>
      <w:r w:rsidRPr="00BE4A6B">
        <w:rPr>
          <w:rFonts w:cstheme="minorHAnsi"/>
          <w:u w:val="single"/>
        </w:rPr>
        <w:t>Management &amp; Control Layer</w:t>
      </w:r>
      <w:r>
        <w:rPr>
          <w:rFonts w:cstheme="minorHAnsi"/>
        </w:rPr>
        <w:t xml:space="preserve"> -</w:t>
      </w:r>
      <w:r w:rsidR="00A7029A">
        <w:rPr>
          <w:rFonts w:cstheme="minorHAnsi"/>
        </w:rPr>
        <w:t>This</w:t>
      </w:r>
      <w:r w:rsidRPr="00E95615">
        <w:rPr>
          <w:rFonts w:cstheme="minorHAnsi"/>
        </w:rPr>
        <w:t xml:space="preserve"> management and control layer contains </w:t>
      </w:r>
      <w:proofErr w:type="gramStart"/>
      <w:r w:rsidRPr="00E95615">
        <w:rPr>
          <w:rFonts w:cstheme="minorHAnsi"/>
        </w:rPr>
        <w:t>all of</w:t>
      </w:r>
      <w:proofErr w:type="gramEnd"/>
      <w:r w:rsidRPr="00E95615">
        <w:rPr>
          <w:rFonts w:cstheme="minorHAnsi"/>
        </w:rPr>
        <w:t xml:space="preserve"> the various configuration and reporting services that are required for ongoing operations and sustainment of security controls at all layers.</w:t>
      </w:r>
      <w:r>
        <w:rPr>
          <w:rFonts w:cstheme="minorHAnsi"/>
        </w:rPr>
        <w:t xml:space="preserve"> </w:t>
      </w:r>
      <w:r w:rsidRPr="00E95615">
        <w:rPr>
          <w:rFonts w:cstheme="minorHAnsi"/>
        </w:rPr>
        <w:t xml:space="preserve">These </w:t>
      </w:r>
      <w:r w:rsidR="00A7029A">
        <w:rPr>
          <w:rFonts w:cstheme="minorHAnsi"/>
        </w:rPr>
        <w:t>services</w:t>
      </w:r>
      <w:r w:rsidRPr="00E95615">
        <w:rPr>
          <w:rFonts w:cstheme="minorHAnsi"/>
        </w:rPr>
        <w:t xml:space="preserve"> are strictly controlled and only allow connections from those administrators who are</w:t>
      </w:r>
      <w:r>
        <w:rPr>
          <w:rFonts w:cstheme="minorHAnsi"/>
        </w:rPr>
        <w:t xml:space="preserve"> </w:t>
      </w:r>
      <w:r w:rsidRPr="00E95615">
        <w:rPr>
          <w:rFonts w:cstheme="minorHAnsi"/>
        </w:rPr>
        <w:t>permitted to manage and monitor security controls.</w:t>
      </w:r>
    </w:p>
    <w:p w14:paraId="4CFB6A71" w14:textId="77777777" w:rsidR="00F167B3" w:rsidRPr="00A7029A" w:rsidRDefault="00F167B3" w:rsidP="006F0A05">
      <w:pPr>
        <w:pStyle w:val="BodyText"/>
        <w:ind w:left="720"/>
        <w:jc w:val="both"/>
        <w:rPr>
          <w:rFonts w:cstheme="minorHAnsi"/>
        </w:rPr>
      </w:pPr>
      <w:r w:rsidRPr="00A7029A">
        <w:rPr>
          <w:rFonts w:cstheme="minorHAnsi"/>
          <w:u w:val="single"/>
        </w:rPr>
        <w:t xml:space="preserve">Data </w:t>
      </w:r>
      <w:r w:rsidR="001A0547" w:rsidRPr="00A7029A">
        <w:rPr>
          <w:rFonts w:cstheme="minorHAnsi"/>
          <w:u w:val="single"/>
        </w:rPr>
        <w:t>Management</w:t>
      </w:r>
      <w:r w:rsidR="001A0547" w:rsidRPr="00A7029A">
        <w:rPr>
          <w:rFonts w:cstheme="minorHAnsi"/>
        </w:rPr>
        <w:t xml:space="preserve"> -</w:t>
      </w:r>
      <w:r w:rsidRPr="00A7029A">
        <w:rPr>
          <w:rFonts w:cstheme="minorHAnsi"/>
        </w:rPr>
        <w:t xml:space="preserve"> Proper tagging and classification of data greatly assists the </w:t>
      </w:r>
      <w:r w:rsidR="00A7029A" w:rsidRPr="00A7029A">
        <w:rPr>
          <w:rFonts w:cstheme="minorHAnsi"/>
        </w:rPr>
        <w:t>Cloud S</w:t>
      </w:r>
      <w:r w:rsidR="001A0547" w:rsidRPr="00A7029A">
        <w:rPr>
          <w:rFonts w:cstheme="minorHAnsi"/>
        </w:rPr>
        <w:t xml:space="preserve">ervice </w:t>
      </w:r>
      <w:r w:rsidR="00A7029A" w:rsidRPr="00A7029A">
        <w:rPr>
          <w:rFonts w:cstheme="minorHAnsi"/>
        </w:rPr>
        <w:t>C</w:t>
      </w:r>
      <w:r w:rsidR="001A0547" w:rsidRPr="00A7029A">
        <w:rPr>
          <w:rFonts w:cstheme="minorHAnsi"/>
        </w:rPr>
        <w:t xml:space="preserve">ustomer’s </w:t>
      </w:r>
      <w:r w:rsidRPr="00A7029A">
        <w:rPr>
          <w:rFonts w:cstheme="minorHAnsi"/>
        </w:rPr>
        <w:t xml:space="preserve">security controls to enforce the right rules based on the detection of this information on an endpoint machine or the network. </w:t>
      </w:r>
    </w:p>
    <w:p w14:paraId="642F4053" w14:textId="77777777" w:rsidR="00F167B3" w:rsidRPr="002E79F2" w:rsidRDefault="00F167B3" w:rsidP="006F0A05">
      <w:pPr>
        <w:pStyle w:val="BodyText"/>
        <w:ind w:left="720"/>
        <w:jc w:val="both"/>
        <w:rPr>
          <w:rFonts w:cstheme="minorHAnsi"/>
        </w:rPr>
      </w:pPr>
      <w:r w:rsidRPr="00BE4A6B">
        <w:rPr>
          <w:rFonts w:cstheme="minorHAnsi"/>
          <w:u w:val="single"/>
        </w:rPr>
        <w:t xml:space="preserve">Service Management </w:t>
      </w:r>
      <w:r>
        <w:rPr>
          <w:rFonts w:cstheme="minorHAnsi"/>
        </w:rPr>
        <w:t>-</w:t>
      </w:r>
      <w:r w:rsidR="00A7029A">
        <w:rPr>
          <w:rFonts w:cstheme="minorHAnsi"/>
        </w:rPr>
        <w:t xml:space="preserve"> </w:t>
      </w:r>
      <w:r w:rsidRPr="00E95615">
        <w:rPr>
          <w:rFonts w:cstheme="minorHAnsi"/>
        </w:rPr>
        <w:t xml:space="preserve">Service Management pertains to the ongoing operations and continuous service improvement for </w:t>
      </w:r>
      <w:proofErr w:type="gramStart"/>
      <w:r w:rsidRPr="00E95615">
        <w:rPr>
          <w:rFonts w:cstheme="minorHAnsi"/>
        </w:rPr>
        <w:t>all of</w:t>
      </w:r>
      <w:proofErr w:type="gramEnd"/>
      <w:r>
        <w:rPr>
          <w:rFonts w:cstheme="minorHAnsi"/>
        </w:rPr>
        <w:t xml:space="preserve"> </w:t>
      </w:r>
      <w:r w:rsidRPr="00E95615">
        <w:rPr>
          <w:rFonts w:cstheme="minorHAnsi"/>
        </w:rPr>
        <w:t>the security controls in the different la</w:t>
      </w:r>
      <w:r w:rsidR="00A7029A">
        <w:rPr>
          <w:rFonts w:cstheme="minorHAnsi"/>
        </w:rPr>
        <w:t>yers. It includes tasks such as</w:t>
      </w:r>
      <w:r w:rsidRPr="00E95615">
        <w:rPr>
          <w:rFonts w:cstheme="minorHAnsi"/>
        </w:rPr>
        <w:t xml:space="preserve"> user trouble call resolution,</w:t>
      </w:r>
      <w:r>
        <w:rPr>
          <w:rFonts w:cstheme="minorHAnsi"/>
        </w:rPr>
        <w:t xml:space="preserve"> </w:t>
      </w:r>
      <w:r w:rsidRPr="00E95615">
        <w:rPr>
          <w:rFonts w:cstheme="minorHAnsi"/>
        </w:rPr>
        <w:t xml:space="preserve">periodic system health checks, routine system upgrades and </w:t>
      </w:r>
      <w:r>
        <w:rPr>
          <w:rFonts w:cstheme="minorHAnsi"/>
        </w:rPr>
        <w:t>i</w:t>
      </w:r>
      <w:r w:rsidRPr="00E95615">
        <w:rPr>
          <w:rFonts w:cstheme="minorHAnsi"/>
        </w:rPr>
        <w:t>mprovements, appropriate performance</w:t>
      </w:r>
      <w:r>
        <w:rPr>
          <w:rFonts w:cstheme="minorHAnsi"/>
        </w:rPr>
        <w:t xml:space="preserve"> </w:t>
      </w:r>
      <w:r w:rsidRPr="00E95615">
        <w:rPr>
          <w:rFonts w:cstheme="minorHAnsi"/>
        </w:rPr>
        <w:t xml:space="preserve">monitoring and reporting and </w:t>
      </w:r>
      <w:r w:rsidRPr="00A7029A">
        <w:rPr>
          <w:rFonts w:cstheme="minorHAnsi"/>
        </w:rPr>
        <w:t xml:space="preserve">regular discussions with the </w:t>
      </w:r>
      <w:r w:rsidR="002543FE" w:rsidRPr="00A7029A">
        <w:rPr>
          <w:rFonts w:cstheme="minorHAnsi"/>
        </w:rPr>
        <w:t>Cloud Service Providers</w:t>
      </w:r>
      <w:r>
        <w:rPr>
          <w:rFonts w:cstheme="minorHAnsi"/>
        </w:rPr>
        <w:t xml:space="preserve"> and </w:t>
      </w:r>
      <w:r w:rsidRPr="00E95615">
        <w:rPr>
          <w:rFonts w:cstheme="minorHAnsi"/>
        </w:rPr>
        <w:t>ongoing sustaining</w:t>
      </w:r>
      <w:r>
        <w:rPr>
          <w:rFonts w:cstheme="minorHAnsi"/>
        </w:rPr>
        <w:t xml:space="preserve"> </w:t>
      </w:r>
      <w:r w:rsidRPr="00E95615">
        <w:rPr>
          <w:rFonts w:cstheme="minorHAnsi"/>
        </w:rPr>
        <w:t xml:space="preserve">support of the infrastructure that provides essential security services. </w:t>
      </w:r>
    </w:p>
    <w:p w14:paraId="3EA5D2D0" w14:textId="7D824EFB" w:rsidR="00472015" w:rsidRDefault="00472015" w:rsidP="00317522"/>
    <w:p w14:paraId="5B780824" w14:textId="73F3B2CA" w:rsidR="006B0726" w:rsidRDefault="006B0726" w:rsidP="006B0726">
      <w:pPr>
        <w:pStyle w:val="Heading2"/>
      </w:pPr>
      <w:bookmarkStart w:id="48" w:name="_Toc138311618"/>
      <w:r w:rsidRPr="006B0726">
        <w:t>Continuous Delivery and Continuous Validation</w:t>
      </w:r>
      <w:bookmarkEnd w:id="48"/>
      <w:r w:rsidRPr="009F2B91">
        <w:t xml:space="preserve"> </w:t>
      </w:r>
    </w:p>
    <w:p w14:paraId="265E7389" w14:textId="3D58C2ED" w:rsidR="006B0726" w:rsidRDefault="006B0726" w:rsidP="006B0726">
      <w:r>
        <w:t>In this position paper we are intending to provide guidance, share best practices, and create a dialogue for professionals working and practicing in the Life Sciences domain specifically leveraging cloud-based Platform as a Service (PaaS) and Software as a Service (SaaS) business solutions in the delivery and quality assurance of computerized systems that impact the storage and management of predicate records governed by predicate rules.</w:t>
      </w:r>
    </w:p>
    <w:p w14:paraId="10830552" w14:textId="77777777" w:rsidR="006B0726" w:rsidRDefault="006B0726" w:rsidP="006B0726">
      <w:r>
        <w:t>Of specific interest is the discussion of what it takes to establish trust and manage risk in three specific objectives of IT service management:</w:t>
      </w:r>
    </w:p>
    <w:p w14:paraId="0D6FD742" w14:textId="360E21D9" w:rsidR="006B0726" w:rsidRDefault="006B0726" w:rsidP="006B0726">
      <w:pPr>
        <w:pStyle w:val="ListParagraph"/>
        <w:numPr>
          <w:ilvl w:val="0"/>
          <w:numId w:val="38"/>
        </w:numPr>
      </w:pPr>
      <w:r>
        <w:t>Data Integrity</w:t>
      </w:r>
    </w:p>
    <w:p w14:paraId="16A1C8DC" w14:textId="5AFDE9E7" w:rsidR="006B0726" w:rsidRDefault="006B0726" w:rsidP="006B0726">
      <w:pPr>
        <w:pStyle w:val="ListParagraph"/>
        <w:numPr>
          <w:ilvl w:val="0"/>
          <w:numId w:val="38"/>
        </w:numPr>
      </w:pPr>
      <w:r>
        <w:t>Availability</w:t>
      </w:r>
    </w:p>
    <w:p w14:paraId="57A35725" w14:textId="7DE7B111" w:rsidR="006B0726" w:rsidRDefault="006B0726" w:rsidP="006B0726">
      <w:pPr>
        <w:pStyle w:val="ListParagraph"/>
        <w:numPr>
          <w:ilvl w:val="0"/>
          <w:numId w:val="38"/>
        </w:numPr>
      </w:pPr>
      <w:r>
        <w:t xml:space="preserve">Usability, include validate secure </w:t>
      </w:r>
      <w:proofErr w:type="gramStart"/>
      <w:r>
        <w:t>state</w:t>
      </w:r>
      <w:proofErr w:type="gramEnd"/>
      <w:r>
        <w:t xml:space="preserve"> </w:t>
      </w:r>
    </w:p>
    <w:p w14:paraId="0B1CF7A9" w14:textId="3052FB43" w:rsidR="006B0726" w:rsidRDefault="006B0726" w:rsidP="006B0726">
      <w:r>
        <w:t>Achieving the management of risk to the above three IT service management objectives is also highly dependent on Infrastructure as a Service (IaaS) capabilities and was covered by previous position papers.</w:t>
      </w:r>
    </w:p>
    <w:p w14:paraId="648938FA" w14:textId="37D2E673" w:rsidR="006B0726" w:rsidRDefault="006B0726" w:rsidP="00317522">
      <w:r w:rsidRPr="006B0726">
        <w:t>Computer Systems Validation practices are well established in Life Sciences, and the industry is expected to adhere to critical computer system validation standards and practices. Companies are required to meet strict standards, explicit and implied, in current good practices (</w:t>
      </w:r>
      <w:proofErr w:type="spellStart"/>
      <w:r w:rsidRPr="006B0726">
        <w:t>GxP</w:t>
      </w:r>
      <w:proofErr w:type="spellEnd"/>
      <w:r w:rsidRPr="006B0726">
        <w:t>). These include planning, verification, testing, traceability, configuration management, integrating software life cycle management, and risk management activities.</w:t>
      </w:r>
    </w:p>
    <w:p w14:paraId="4C679374" w14:textId="77777777" w:rsidR="0058534E" w:rsidRPr="003D2A64" w:rsidRDefault="0058534E" w:rsidP="0058534E">
      <w:pPr>
        <w:pStyle w:val="Heading3"/>
      </w:pPr>
      <w:r>
        <w:br w:type="page"/>
      </w:r>
      <w:bookmarkStart w:id="49" w:name="_Toc138311619"/>
      <w:r w:rsidRPr="003D2A64">
        <w:t>The Challenge</w:t>
      </w:r>
      <w:bookmarkEnd w:id="49"/>
    </w:p>
    <w:p w14:paraId="4C17F4AC" w14:textId="77777777" w:rsidR="0058534E" w:rsidRDefault="0058534E" w:rsidP="0058534E">
      <w:r>
        <w:t>Life Science companies – sponsors of medicinal products and medical devices, and combinations thereof – carry the ultimate responsibility for the efficacy and quality of their products. This is clearly delineated in current regulations. It also makes sense from a trust perspective as well as aspects of corporate responsibility and reputability.</w:t>
      </w:r>
    </w:p>
    <w:p w14:paraId="4E124107" w14:textId="77777777" w:rsidR="0058534E" w:rsidRDefault="0058534E" w:rsidP="0058534E">
      <w:r>
        <w:t>The combination of dramatically faster pace along with an ever-increasing interdependence across business functions creates a critical need for integration and interoperability. This higher level of complexity creates risk and more opportunities for errors and miscommunications. Downstream, that impact can be dangerous: lapses in quality can impact the safety and efficacy of our medicines and medical devices. It is incumbent on the industry to exercise exceptional diligence over the core processes and systems that help get work done to prevent these errors from happening.</w:t>
      </w:r>
    </w:p>
    <w:p w14:paraId="2D557B84" w14:textId="77777777" w:rsidR="0058534E" w:rsidRDefault="0058534E" w:rsidP="0058534E">
      <w:r>
        <w:t>Our increased dependency on information systems is also challenging the boundaries of current interoperability and system integration, as well as the capabilities of existing COTS and in-house IT professionals to continue delivering on the promise of such information systems while delivering to very high standards and managing the risk in the following three key areas:</w:t>
      </w:r>
    </w:p>
    <w:p w14:paraId="7F47952D" w14:textId="77777777" w:rsidR="0058534E" w:rsidRDefault="0058534E" w:rsidP="0058534E">
      <w:pPr>
        <w:pStyle w:val="ListParagraph"/>
        <w:numPr>
          <w:ilvl w:val="0"/>
          <w:numId w:val="38"/>
        </w:numPr>
      </w:pPr>
      <w:r>
        <w:t>Data Integrity</w:t>
      </w:r>
    </w:p>
    <w:p w14:paraId="7832E072" w14:textId="77777777" w:rsidR="0058534E" w:rsidRDefault="0058534E" w:rsidP="0058534E">
      <w:pPr>
        <w:pStyle w:val="ListParagraph"/>
        <w:numPr>
          <w:ilvl w:val="0"/>
          <w:numId w:val="38"/>
        </w:numPr>
      </w:pPr>
      <w:r>
        <w:t>Availability</w:t>
      </w:r>
    </w:p>
    <w:p w14:paraId="52D9746B" w14:textId="4F5B13FA" w:rsidR="0058534E" w:rsidRDefault="0058534E" w:rsidP="0058534E">
      <w:pPr>
        <w:pStyle w:val="ListParagraph"/>
        <w:numPr>
          <w:ilvl w:val="0"/>
          <w:numId w:val="38"/>
        </w:numPr>
      </w:pPr>
      <w:r>
        <w:t xml:space="preserve">Usability, include validate secure </w:t>
      </w:r>
      <w:r w:rsidR="005F386A">
        <w:t>state.</w:t>
      </w:r>
      <w:r>
        <w:t xml:space="preserve"> </w:t>
      </w:r>
    </w:p>
    <w:p w14:paraId="2048A9F7" w14:textId="77777777" w:rsidR="0058534E" w:rsidRDefault="0058534E" w:rsidP="0058534E">
      <w:r>
        <w:t>Life Sciences companies have been turning to cloud-based platforms to alleviate some of the pressures. This trend seems to continue accelerating. This is where trust and risk management become critical.</w:t>
      </w:r>
      <w:r w:rsidRPr="0058534E">
        <w:rPr>
          <w:b/>
          <w:bCs/>
          <w:i/>
          <w:iCs/>
        </w:rPr>
        <w:t xml:space="preserve"> Life Science companies must be able to establish trust in cloud-based systems and gain a solid understanding of the way cloud system providers are diligent in managing risk across the three key areas of Data Integrity, Availability, and Usability</w:t>
      </w:r>
      <w:r>
        <w:t>.</w:t>
      </w:r>
    </w:p>
    <w:p w14:paraId="30DF93CF" w14:textId="5EDEA613" w:rsidR="006B0726" w:rsidRPr="0058534E" w:rsidRDefault="0058534E" w:rsidP="0058534E">
      <w:r>
        <w:t xml:space="preserve">Could </w:t>
      </w:r>
      <w:proofErr w:type="spellStart"/>
      <w:r>
        <w:t>based</w:t>
      </w:r>
      <w:proofErr w:type="spellEnd"/>
      <w:r>
        <w:t xml:space="preserve"> platforms make it possible to provide for </w:t>
      </w:r>
      <w:r w:rsidRPr="0058534E">
        <w:rPr>
          <w:b/>
          <w:bCs/>
          <w:i/>
          <w:iCs/>
        </w:rPr>
        <w:t>continuous delivery</w:t>
      </w:r>
      <w:r>
        <w:t xml:space="preserve"> of software updates that either deliver new functionality and features, enhance existing features, or work to fix and alleviate </w:t>
      </w:r>
      <w:r w:rsidRPr="0058534E">
        <w:t>software bugs as they are discovered or reported.</w:t>
      </w:r>
    </w:p>
    <w:p w14:paraId="207DFF3F" w14:textId="5D8CB0B7" w:rsidR="0058534E" w:rsidRPr="0058534E" w:rsidRDefault="0058534E" w:rsidP="0058534E">
      <w:pPr>
        <w:pStyle w:val="Heading3"/>
      </w:pPr>
      <w:bookmarkStart w:id="50" w:name="_Toc138311620"/>
      <w:r w:rsidRPr="0058534E">
        <w:t>The Approach</w:t>
      </w:r>
      <w:bookmarkEnd w:id="50"/>
    </w:p>
    <w:p w14:paraId="1557D618" w14:textId="77777777" w:rsidR="0058534E" w:rsidRPr="0058534E" w:rsidRDefault="0058534E" w:rsidP="0058534E">
      <w:r w:rsidRPr="0058534E">
        <w:t>The overall approach to establishing trust and trustworthiness in the continuous delivery of quality business solutions provided as PaaS and SaaS should be based on the basic notion of trust but verify.</w:t>
      </w:r>
    </w:p>
    <w:p w14:paraId="65BD20BF" w14:textId="77777777" w:rsidR="0058534E" w:rsidRPr="0058534E" w:rsidRDefault="0058534E" w:rsidP="0058534E">
      <w:r w:rsidRPr="0058534E">
        <w:t>First, the responsibility for software quality assurance in a continuous delivery model depends on the establishment and adherence of best practices by the PaaS or SaaS vendor (more on this below).</w:t>
      </w:r>
    </w:p>
    <w:p w14:paraId="239E2AE9" w14:textId="77777777" w:rsidR="0058534E" w:rsidRPr="0058534E" w:rsidRDefault="0058534E" w:rsidP="0058534E">
      <w:r w:rsidRPr="0058534E">
        <w:t>Second, since the overall responsibility for the medicinal product quality relies on the sponsor, the sponsor is still required to adhere to the applicable vendor audit regulatory requirements. In this case, such audits would cover the evaluation of evidence supporting a rigorous Software Development Life Cycle (SDLC) coupled by established Software Quality Assurance (SQA) and Software Quality Control (SQC) processes as part of the continuous delivery model.</w:t>
      </w:r>
    </w:p>
    <w:p w14:paraId="1C190303" w14:textId="77777777" w:rsidR="005F386A" w:rsidRDefault="005F386A" w:rsidP="0058534E"/>
    <w:p w14:paraId="05E0F93A" w14:textId="6FE0BF55" w:rsidR="0058534E" w:rsidRPr="0058534E" w:rsidRDefault="0058534E" w:rsidP="0058534E">
      <w:r w:rsidRPr="0058534E">
        <w:t>The notion of trustworthiness of a vendor providing PaaS or SaaS via a continuous delivery model would emerge from positively passing supplier assessments. Initially, this would be likely conducted by individual clients, however, we could envision this evolving and migrating over time, towards a model whereby vendors would be evaluated for their continuous delivery model and execution, by a centralized acknowledged body. This model would follow the same principles followed by security SIGs (Standard Information Gathering) questionnaires.</w:t>
      </w:r>
    </w:p>
    <w:p w14:paraId="22C5CB9D" w14:textId="1DD221F8" w:rsidR="0058534E" w:rsidRDefault="0058534E" w:rsidP="0058534E">
      <w:r w:rsidRPr="0058534E">
        <w:t>The approach, of establishing trust and trustworthiness, in companies and vendors providing PaaS and SaaS business solutions, based on periodic review of their overall culture of quality and organizational excellence (CQOE)</w:t>
      </w:r>
      <w:r w:rsidR="00704514">
        <w:t>.</w:t>
      </w:r>
      <w:r w:rsidRPr="0058534E">
        <w:t xml:space="preserve"> </w:t>
      </w:r>
      <w:r>
        <w:t>A</w:t>
      </w:r>
      <w:r w:rsidRPr="0058534E">
        <w:t>spect of the overall approach – organizational level analysis coupled with a product level analysis – should be applied to evaluate the fitness of a continuous development approach, which could bridge the gap between a Computer Software Validation approach, which is tied to what is known as the “Waterfall” approach and Computer Software Assurance approach, which benefits from an Agile software development approach leveraging Scrum methods.</w:t>
      </w:r>
    </w:p>
    <w:p w14:paraId="61EB60FB" w14:textId="77777777" w:rsidR="009959D0" w:rsidRDefault="009959D0" w:rsidP="009959D0">
      <w:r w:rsidRPr="009959D0">
        <w:t xml:space="preserve">Of critical importance is the adherence to Software Development Life Cycle (SDLC) best practices coupled with a rigorous Software Quality Assurance process. In a continuous model, this would further encompass </w:t>
      </w:r>
      <w:r w:rsidRPr="009959D0">
        <w:rPr>
          <w:i/>
          <w:iCs/>
          <w:u w:val="single"/>
        </w:rPr>
        <w:t>multiple quality gates</w:t>
      </w:r>
      <w:r w:rsidRPr="009959D0">
        <w:t xml:space="preserve"> in combination with the establishment of a software development process that benefits from an equivalent to an “Andon Cord.”  In manufacturing, the term Andon refers to a system which notifies managerial, maintenance, and other workers of a quality or processing problem. The alert can be activated manually by a worker using a pullcord or button or may be activated automatically by the production equipment itself. In the case of software development, any member of the software product development team can raise a flag and stop the continuous development process in case of a quality or development process issue.</w:t>
      </w:r>
    </w:p>
    <w:p w14:paraId="4894CD11" w14:textId="3F04EEAF" w:rsidR="0058534E" w:rsidRDefault="00195865" w:rsidP="0058534E">
      <w:r w:rsidRPr="00195865">
        <w:t>The SDLC framework should be tightly integrated with the quality unit, and benefit from its adaptable approach to planning, implementing, releasing, testing, and supporting software that is subject to on-going internal and external evaluation procedures and processes that ensure and provide a high level of confidence that the GA software meets its objectives and intended use efficiently, effectively, and securely. The software should not be considered Generally Available (GA) until it has successfully passed a series of QA validation procedures including the categorization of defect severity and defect priority, on an ongoing basis—as well as a battery of tests including endurance tests, stress tests, security, platform compatibility tests, and regression tests, which in a continuous delivery model are run and executed on a regular cadence.</w:t>
      </w:r>
    </w:p>
    <w:p w14:paraId="19A29FB8" w14:textId="770359DB" w:rsidR="0058534E" w:rsidRDefault="00195865" w:rsidP="00195865">
      <w:pPr>
        <w:pStyle w:val="Heading3"/>
      </w:pPr>
      <w:bookmarkStart w:id="51" w:name="_Toc138311621"/>
      <w:r>
        <w:t>DevOps</w:t>
      </w:r>
      <w:bookmarkEnd w:id="51"/>
    </w:p>
    <w:p w14:paraId="29CCA938" w14:textId="2DF15A32" w:rsidR="00704514" w:rsidRDefault="00704514" w:rsidP="0058534E">
      <w:r w:rsidRPr="00704514">
        <w:t>A definition of DevOps comes from Microsoft – “A compound of development (Dev) and operations (Ops), DevOps is the union of people, process, and technology to continually provide value to customers”.</w:t>
      </w:r>
    </w:p>
    <w:p w14:paraId="569B12FB" w14:textId="74D84D7D" w:rsidR="00195865" w:rsidRDefault="002F665D" w:rsidP="0058534E">
      <w:r>
        <w:t xml:space="preserve">Effective adoption of the public cloud (specifically IaaS/PaaS) requires a competent DevOps team, experienced in </w:t>
      </w:r>
      <w:r w:rsidR="00103DEE">
        <w:t xml:space="preserve">both </w:t>
      </w:r>
      <w:r>
        <w:t>Cloud technologies</w:t>
      </w:r>
      <w:r w:rsidR="00103DEE">
        <w:t xml:space="preserve"> and automated software deployment &amp; testing. Providers are continually releasing new services. </w:t>
      </w:r>
      <w:r w:rsidR="0043108C">
        <w:t xml:space="preserve">For proper and timely </w:t>
      </w:r>
      <w:r w:rsidR="00103DEE">
        <w:t>adopt</w:t>
      </w:r>
      <w:r w:rsidR="0043108C">
        <w:t>ion of such new services and capabilities, the</w:t>
      </w:r>
      <w:r w:rsidR="00103DEE">
        <w:t xml:space="preserve"> DevOps teams </w:t>
      </w:r>
      <w:r w:rsidR="0043108C">
        <w:t>must</w:t>
      </w:r>
      <w:r w:rsidR="00103DEE">
        <w:t xml:space="preserve"> partner with</w:t>
      </w:r>
      <w:r w:rsidR="0043108C">
        <w:t xml:space="preserve"> Information S</w:t>
      </w:r>
      <w:r w:rsidR="00103DEE">
        <w:t>ecurity to establish</w:t>
      </w:r>
      <w:r w:rsidR="0043108C">
        <w:t xml:space="preserve"> proper</w:t>
      </w:r>
      <w:r w:rsidR="00103DEE">
        <w:t xml:space="preserve"> roles and</w:t>
      </w:r>
      <w:r w:rsidR="0043108C">
        <w:t xml:space="preserve"> appropriate</w:t>
      </w:r>
      <w:r w:rsidR="00103DEE">
        <w:t xml:space="preserve"> access controls. Also, </w:t>
      </w:r>
      <w:r w:rsidR="0043108C">
        <w:t>the team should consider defining</w:t>
      </w:r>
      <w:r w:rsidR="00103DEE">
        <w:t xml:space="preserve"> standard configuration settings and </w:t>
      </w:r>
      <w:r w:rsidR="0043108C">
        <w:t xml:space="preserve">methods for </w:t>
      </w:r>
      <w:r w:rsidR="00103DEE">
        <w:t>how the specific service instance would be backed up and restored</w:t>
      </w:r>
      <w:r w:rsidR="0043108C">
        <w:t>, plus considerations for long term data retention – some retention schedules may call for up to 25 years retention period in Life Sciences</w:t>
      </w:r>
      <w:r w:rsidR="00103DEE">
        <w:t>.</w:t>
      </w:r>
    </w:p>
    <w:p w14:paraId="199E9A6B" w14:textId="1690988A" w:rsidR="00103DEE" w:rsidRDefault="0043108C" w:rsidP="00C16925">
      <w:r>
        <w:t>During acceptance testing of new functionality, addition capabilities, update, and hot fixes, a</w:t>
      </w:r>
      <w:r w:rsidR="00103DEE">
        <w:t>utomated software testing is vital to executing a truly agile DevOps process. It can greatly shor</w:t>
      </w:r>
      <w:r w:rsidR="00444C6F">
        <w:t>ten the time to qualify a new service. Even more importantly, an automated regression suite provides for rapid 100% testing when updating features to the overall Cloud Management Service.</w:t>
      </w:r>
    </w:p>
    <w:p w14:paraId="219A2E55" w14:textId="553E6A85" w:rsidR="00FD63D3" w:rsidRDefault="00FD63D3" w:rsidP="00C16925">
      <w:r w:rsidRPr="00704514">
        <w:t xml:space="preserve">Additional details on standards for DevOps may be found here </w:t>
      </w:r>
      <w:r>
        <w:t>–</w:t>
      </w:r>
    </w:p>
    <w:p w14:paraId="49986202" w14:textId="77777777" w:rsidR="00A6322A" w:rsidRDefault="00D512BA" w:rsidP="00C16925">
      <w:pPr>
        <w:pStyle w:val="ListParagraph"/>
        <w:numPr>
          <w:ilvl w:val="0"/>
          <w:numId w:val="45"/>
        </w:numPr>
      </w:pPr>
      <w:hyperlink r:id="rId12" w:history="1">
        <w:r w:rsidR="00FD63D3" w:rsidRPr="00704514">
          <w:rPr>
            <w:rStyle w:val="Hyperlink"/>
          </w:rPr>
          <w:t>IEEE 2675-2021</w:t>
        </w:r>
      </w:hyperlink>
      <w:r w:rsidR="00FD63D3" w:rsidRPr="00704514">
        <w:t xml:space="preserve"> - IEEE Standard for DevOps:</w:t>
      </w:r>
      <w:r w:rsidR="00FD63D3">
        <w:t xml:space="preserve"> </w:t>
      </w:r>
      <w:r w:rsidR="00FD63D3" w:rsidRPr="00704514">
        <w:t>Building Reliable and Secure Systems Including Application Build, Package, and Deployment</w:t>
      </w:r>
    </w:p>
    <w:p w14:paraId="2C1AD55E" w14:textId="332BA7E4" w:rsidR="00FD63D3" w:rsidRDefault="00D512BA" w:rsidP="00C16925">
      <w:pPr>
        <w:pStyle w:val="ListParagraph"/>
        <w:numPr>
          <w:ilvl w:val="0"/>
          <w:numId w:val="45"/>
        </w:numPr>
      </w:pPr>
      <w:hyperlink r:id="rId13" w:history="1">
        <w:r w:rsidR="00FD63D3" w:rsidRPr="00704514">
          <w:rPr>
            <w:rStyle w:val="Hyperlink"/>
          </w:rPr>
          <w:t>ISO/IEC/IEEE 32675:2022</w:t>
        </w:r>
      </w:hyperlink>
      <w:r w:rsidR="00A6322A" w:rsidRPr="00A6322A">
        <w:t xml:space="preserve"> - </w:t>
      </w:r>
      <w:r w:rsidR="00FD63D3" w:rsidRPr="00704514">
        <w:t xml:space="preserve">Information technology — DevOps — Building reliable and secure systems including application build, </w:t>
      </w:r>
      <w:r w:rsidR="00A6322A" w:rsidRPr="00A6322A">
        <w:t>package,</w:t>
      </w:r>
      <w:r w:rsidR="00FD63D3" w:rsidRPr="00704514">
        <w:t xml:space="preserve"> and </w:t>
      </w:r>
      <w:r w:rsidR="00A6322A" w:rsidRPr="00A6322A">
        <w:t>deployment.</w:t>
      </w:r>
    </w:p>
    <w:p w14:paraId="3FA12325" w14:textId="6E33647F" w:rsidR="00F900AA" w:rsidRDefault="00F900AA" w:rsidP="00F900AA">
      <w:pPr>
        <w:pStyle w:val="Heading4"/>
      </w:pPr>
      <w:bookmarkStart w:id="52" w:name="_Toc138311622"/>
      <w:r>
        <w:t>Configuration Management</w:t>
      </w:r>
      <w:bookmarkEnd w:id="52"/>
    </w:p>
    <w:p w14:paraId="1B9E9703" w14:textId="3BA5B74F" w:rsidR="00F900AA" w:rsidRDefault="00F900AA" w:rsidP="00F900AA">
      <w:r>
        <w:t>The configuration management process for Cloud Solutions must ensure that systems are created and managed appropriately in accordance with best practice standards:</w:t>
      </w:r>
    </w:p>
    <w:p w14:paraId="2E1402D7" w14:textId="7CD1EBAF" w:rsidR="00F900AA" w:rsidRDefault="00F900AA" w:rsidP="00F900AA">
      <w:pPr>
        <w:pStyle w:val="ListParagraph"/>
        <w:numPr>
          <w:ilvl w:val="4"/>
          <w:numId w:val="7"/>
        </w:numPr>
      </w:pPr>
      <w:r w:rsidRPr="00F900AA">
        <w:rPr>
          <w:b/>
          <w:bCs/>
          <w:i/>
          <w:iCs/>
        </w:rPr>
        <w:t>Identify configurable items</w:t>
      </w:r>
      <w:r>
        <w:t xml:space="preserve"> such as servers and respective operating systems and software applications installed. </w:t>
      </w:r>
    </w:p>
    <w:p w14:paraId="50BDC726" w14:textId="6CD66D26" w:rsidR="00F900AA" w:rsidRDefault="00F900AA" w:rsidP="00F900AA">
      <w:pPr>
        <w:pStyle w:val="ListParagraph"/>
        <w:numPr>
          <w:ilvl w:val="4"/>
          <w:numId w:val="7"/>
        </w:numPr>
      </w:pPr>
      <w:r w:rsidRPr="00F900AA">
        <w:rPr>
          <w:b/>
          <w:bCs/>
          <w:i/>
          <w:iCs/>
        </w:rPr>
        <w:t>Create the baseline build of configuration items</w:t>
      </w:r>
      <w:r>
        <w:t xml:space="preserve"> using principles of least privilege and segregation in components and configurations; only essential capabilities are enabled, and components are broken down by function; this may be ensured through automation. Each new baseline that is created is versioned and maintained.</w:t>
      </w:r>
    </w:p>
    <w:p w14:paraId="1B8DDCDE" w14:textId="1C54D99A" w:rsidR="00F900AA" w:rsidRDefault="00F900AA" w:rsidP="00F900AA">
      <w:pPr>
        <w:pStyle w:val="ListParagraph"/>
        <w:numPr>
          <w:ilvl w:val="4"/>
          <w:numId w:val="7"/>
        </w:numPr>
      </w:pPr>
      <w:r w:rsidRPr="00F900AA">
        <w:rPr>
          <w:b/>
          <w:bCs/>
          <w:i/>
          <w:iCs/>
        </w:rPr>
        <w:t>Ensure secure configurations are applied to configuration items</w:t>
      </w:r>
      <w:r>
        <w:t xml:space="preserve"> through a change control process and automation.</w:t>
      </w:r>
    </w:p>
    <w:p w14:paraId="2C5EDEE1" w14:textId="4E190A69" w:rsidR="00F900AA" w:rsidRDefault="00F900AA" w:rsidP="00F900AA">
      <w:pPr>
        <w:pStyle w:val="ListParagraph"/>
        <w:numPr>
          <w:ilvl w:val="4"/>
          <w:numId w:val="7"/>
        </w:numPr>
      </w:pPr>
      <w:r w:rsidRPr="00F900AA">
        <w:rPr>
          <w:b/>
          <w:bCs/>
          <w:i/>
          <w:iCs/>
        </w:rPr>
        <w:t>Maintain and verify the baselines and configurations</w:t>
      </w:r>
      <w:r>
        <w:t>; work together with the Information Security Team to ensure that there are no significant deviations between the baseline configuration and the operational environments and establish monitoring is in place.</w:t>
      </w:r>
    </w:p>
    <w:p w14:paraId="4E993A59" w14:textId="4B870832" w:rsidR="00F900AA" w:rsidRDefault="00F900AA" w:rsidP="00F900AA">
      <w:pPr>
        <w:pStyle w:val="ListParagraph"/>
        <w:numPr>
          <w:ilvl w:val="4"/>
          <w:numId w:val="7"/>
        </w:numPr>
      </w:pPr>
      <w:r w:rsidRPr="00F900AA">
        <w:rPr>
          <w:b/>
          <w:bCs/>
          <w:i/>
          <w:iCs/>
        </w:rPr>
        <w:t>Perform continuous system monitoring</w:t>
      </w:r>
      <w:r>
        <w:t xml:space="preserve"> to verify the continued implementation of security controls within the system; ensure that only authorized AMIs are accessing the systems; the information security team should also scan the cloud instances for any installed software to ensure it does not deviate from the baseline.</w:t>
      </w:r>
    </w:p>
    <w:p w14:paraId="676055A6" w14:textId="77777777" w:rsidR="00F900AA" w:rsidRDefault="00F900AA" w:rsidP="00F900AA">
      <w:pPr>
        <w:pStyle w:val="ListParagraph"/>
        <w:ind w:left="1440"/>
      </w:pPr>
      <w:r>
        <w:t>The configuration management team should maintain awareness and monitor the following:</w:t>
      </w:r>
    </w:p>
    <w:p w14:paraId="75C2C207" w14:textId="3BED0237" w:rsidR="00F900AA" w:rsidRDefault="00F900AA" w:rsidP="00F900AA">
      <w:pPr>
        <w:pStyle w:val="ListParagraph"/>
        <w:numPr>
          <w:ilvl w:val="4"/>
          <w:numId w:val="7"/>
        </w:numPr>
        <w:ind w:left="2160"/>
      </w:pPr>
      <w:r>
        <w:t>Support tickets from customers</w:t>
      </w:r>
    </w:p>
    <w:p w14:paraId="4B9A88FE" w14:textId="0FF7E9EC" w:rsidR="00F900AA" w:rsidRDefault="00F900AA" w:rsidP="00F900AA">
      <w:pPr>
        <w:pStyle w:val="ListParagraph"/>
        <w:numPr>
          <w:ilvl w:val="4"/>
          <w:numId w:val="7"/>
        </w:numPr>
        <w:ind w:left="2160"/>
      </w:pPr>
      <w:r>
        <w:t>New laws or regulations applicable to Cloud</w:t>
      </w:r>
    </w:p>
    <w:p w14:paraId="02865B42" w14:textId="5D8DA086" w:rsidR="00F900AA" w:rsidRDefault="00F900AA" w:rsidP="00F900AA">
      <w:pPr>
        <w:pStyle w:val="ListParagraph"/>
        <w:numPr>
          <w:ilvl w:val="4"/>
          <w:numId w:val="7"/>
        </w:numPr>
        <w:ind w:left="2160"/>
      </w:pPr>
      <w:r>
        <w:t>Patches or vulnerability fixes for software in use</w:t>
      </w:r>
    </w:p>
    <w:p w14:paraId="7767A46D" w14:textId="3FC46BB4" w:rsidR="00F900AA" w:rsidRDefault="00F900AA" w:rsidP="00F900AA">
      <w:pPr>
        <w:pStyle w:val="ListParagraph"/>
        <w:numPr>
          <w:ilvl w:val="4"/>
          <w:numId w:val="7"/>
        </w:numPr>
        <w:ind w:left="2160"/>
      </w:pPr>
      <w:r>
        <w:t xml:space="preserve">Changes based on identified risk </w:t>
      </w:r>
      <w:r w:rsidR="00704514">
        <w:t>factors.</w:t>
      </w:r>
    </w:p>
    <w:p w14:paraId="5E1BE54E" w14:textId="6CAD6C31" w:rsidR="00F900AA" w:rsidRDefault="00F900AA" w:rsidP="00F900AA">
      <w:pPr>
        <w:pStyle w:val="ListParagraph"/>
        <w:numPr>
          <w:ilvl w:val="4"/>
          <w:numId w:val="7"/>
        </w:numPr>
        <w:ind w:left="2160"/>
      </w:pPr>
      <w:r>
        <w:t>New features or enhancements to the system</w:t>
      </w:r>
    </w:p>
    <w:p w14:paraId="6F38CDE8" w14:textId="625BB998" w:rsidR="00F900AA" w:rsidRDefault="00F900AA" w:rsidP="00F900AA">
      <w:pPr>
        <w:pStyle w:val="ListParagraph"/>
        <w:numPr>
          <w:ilvl w:val="4"/>
          <w:numId w:val="7"/>
        </w:numPr>
        <w:ind w:left="2160"/>
      </w:pPr>
      <w:r>
        <w:t>Incident monitoring</w:t>
      </w:r>
    </w:p>
    <w:p w14:paraId="71401EAF" w14:textId="77777777" w:rsidR="00F900AA" w:rsidRDefault="00F900AA" w:rsidP="00F900AA">
      <w:r>
        <w:t>Changes to the systems should go through a Change Management process where changes are classified and sent to a pool of approvers; the approvers verify the validity of the changes and approve the maintenance window. When a maintenance window is approved and scheduled the authorized support contacts nominated by the customer are notified. When the time of the maintenance window comes, the maintenance automatically applies the change upon reboot. The customer/sponsor should be notified before any maintenance and at the time the maintenance starts and completes, in accordance with predefined SLAs.</w:t>
      </w:r>
    </w:p>
    <w:p w14:paraId="43E624DF" w14:textId="77777777" w:rsidR="00F900AA" w:rsidRDefault="00F900AA" w:rsidP="00F900AA">
      <w:r>
        <w:t>Maintenance windows requested by the customer should be coordinated through support cases; those that are initiated by the Cloud team are coordinated through a formal notification process and can be discussed via support cases if necessary.</w:t>
      </w:r>
    </w:p>
    <w:p w14:paraId="6F215E3E" w14:textId="77777777" w:rsidR="00F900AA" w:rsidRDefault="00F900AA" w:rsidP="00F900AA">
      <w:r>
        <w:t>New features and automations in the Cloud are subject to the SDLC which in collaboration with the Information Security Team must undergo a security impact analysis review for significant changes.</w:t>
      </w:r>
    </w:p>
    <w:p w14:paraId="44A33D8B" w14:textId="6E296B8E" w:rsidR="00F900AA" w:rsidRDefault="00F900AA" w:rsidP="00F900AA">
      <w:r>
        <w:t>During the SDLC process for building automations that orchestrate the life cycle of Cloud sites, there should be segregation of responsibilities; Cloud Architects should be responsible for merging and deploying back-end code changes to PRODUCTION while the Cloud Operations team members should be responsible for performing deployments of frontend artifacts to PRODUCTION. These changes should be reviewed by the deployers after they have been peer reviewed by a Senior software Engineer.</w:t>
      </w:r>
    </w:p>
    <w:p w14:paraId="7730DF3E" w14:textId="571690C0" w:rsidR="0058534E" w:rsidRDefault="00F900AA" w:rsidP="00F900AA">
      <w:pPr>
        <w:pStyle w:val="Heading4"/>
      </w:pPr>
      <w:bookmarkStart w:id="53" w:name="_Toc138311623"/>
      <w:r>
        <w:t>Change Management</w:t>
      </w:r>
      <w:bookmarkEnd w:id="53"/>
    </w:p>
    <w:p w14:paraId="4E4F2F87" w14:textId="0C42826A" w:rsidR="004B0135" w:rsidRDefault="004B0135" w:rsidP="004B0135">
      <w:r>
        <w:t>Managing change effectively is crucial when implementing DevOps practices. Some key considerations and best practices for change management in a DevOps environment are:</w:t>
      </w:r>
    </w:p>
    <w:p w14:paraId="60A56ACF" w14:textId="78F4F25E" w:rsidR="004B0135" w:rsidRDefault="004B0135" w:rsidP="00704514">
      <w:pPr>
        <w:pStyle w:val="ListParagraph"/>
        <w:numPr>
          <w:ilvl w:val="0"/>
          <w:numId w:val="42"/>
        </w:numPr>
      </w:pPr>
      <w:r w:rsidRPr="00704514">
        <w:rPr>
          <w:u w:val="single"/>
        </w:rPr>
        <w:t>Establish a Change Management Process</w:t>
      </w:r>
      <w:r>
        <w:t xml:space="preserve">: Create a structured process for managing and tracking changes. Define roles and responsibilities, establish clear guidelines, and document the steps involved in requesting, reviewing, </w:t>
      </w:r>
      <w:r w:rsidR="001F1B0B">
        <w:t xml:space="preserve">providing impact assessments, </w:t>
      </w:r>
      <w:r>
        <w:t>approving, and implementing changes.</w:t>
      </w:r>
    </w:p>
    <w:p w14:paraId="1600B9E0" w14:textId="77777777" w:rsidR="004B0135" w:rsidRDefault="004B0135" w:rsidP="00704514">
      <w:pPr>
        <w:pStyle w:val="ListParagraph"/>
        <w:numPr>
          <w:ilvl w:val="0"/>
          <w:numId w:val="42"/>
        </w:numPr>
      </w:pPr>
      <w:r w:rsidRPr="00704514">
        <w:rPr>
          <w:u w:val="single"/>
        </w:rPr>
        <w:t>Automated Deployment and Infrastructure as Code (</w:t>
      </w:r>
      <w:proofErr w:type="spellStart"/>
      <w:r w:rsidRPr="00704514">
        <w:rPr>
          <w:u w:val="single"/>
        </w:rPr>
        <w:t>IaC</w:t>
      </w:r>
      <w:proofErr w:type="spellEnd"/>
      <w:r w:rsidRPr="00704514">
        <w:rPr>
          <w:u w:val="single"/>
        </w:rPr>
        <w:t>)</w:t>
      </w:r>
      <w:r>
        <w:t>: Leverage automation tools and practices to deploy software and infrastructure changes consistently and reliably. Infrastructure as Code (</w:t>
      </w:r>
      <w:proofErr w:type="spellStart"/>
      <w:r>
        <w:t>IaC</w:t>
      </w:r>
      <w:proofErr w:type="spellEnd"/>
      <w:r>
        <w:t>) enables versioning, testing, and automation of infrastructure changes, ensuring reproducibility and minimizing manual errors.</w:t>
      </w:r>
    </w:p>
    <w:p w14:paraId="2F5170D5" w14:textId="77777777" w:rsidR="004B0135" w:rsidRDefault="004B0135" w:rsidP="00704514">
      <w:pPr>
        <w:pStyle w:val="ListParagraph"/>
        <w:numPr>
          <w:ilvl w:val="0"/>
          <w:numId w:val="42"/>
        </w:numPr>
      </w:pPr>
      <w:r w:rsidRPr="00704514">
        <w:rPr>
          <w:u w:val="single"/>
        </w:rPr>
        <w:t>Continuous Integration and Continuous Delivery (CI/CD)</w:t>
      </w:r>
      <w:r>
        <w:t>: Implement CI/CD pipelines to automate the build, testing, and deployment processes. This allows for frequent and small changes to be integrated and delivered rapidly, reducing the risk of large-scale disruptions.</w:t>
      </w:r>
    </w:p>
    <w:p w14:paraId="76F56E7A" w14:textId="2EEAE9BC" w:rsidR="004B0135" w:rsidRDefault="004B0135" w:rsidP="00704514">
      <w:pPr>
        <w:pStyle w:val="ListParagraph"/>
        <w:numPr>
          <w:ilvl w:val="0"/>
          <w:numId w:val="42"/>
        </w:numPr>
      </w:pPr>
      <w:r w:rsidRPr="00704514">
        <w:rPr>
          <w:u w:val="single"/>
        </w:rPr>
        <w:t>Version Control</w:t>
      </w:r>
      <w:r>
        <w:t>: Utilize a version control system to manage code and configuration changes. Version control allows teams to track changes, collaborate effectively, and roll back changes if necessary.</w:t>
      </w:r>
    </w:p>
    <w:p w14:paraId="4481F327" w14:textId="77777777" w:rsidR="004B0135" w:rsidRDefault="004B0135" w:rsidP="00704514">
      <w:pPr>
        <w:pStyle w:val="ListParagraph"/>
        <w:numPr>
          <w:ilvl w:val="0"/>
          <w:numId w:val="42"/>
        </w:numPr>
      </w:pPr>
      <w:r w:rsidRPr="00704514">
        <w:rPr>
          <w:u w:val="single"/>
        </w:rPr>
        <w:t>Monitoring and Feedback Loops</w:t>
      </w:r>
      <w:r>
        <w:t>: Establish comprehensive monitoring and logging mechanisms to gain visibility into the performance and stability of the system. Implement feedback loops to collect user feedback, identify issues early, and make data-driven decisions for improvement.</w:t>
      </w:r>
    </w:p>
    <w:p w14:paraId="3D4B4391" w14:textId="63E98F52" w:rsidR="004B0135" w:rsidRDefault="004B0135" w:rsidP="00704514">
      <w:pPr>
        <w:pStyle w:val="ListParagraph"/>
        <w:numPr>
          <w:ilvl w:val="0"/>
          <w:numId w:val="42"/>
        </w:numPr>
      </w:pPr>
      <w:r w:rsidRPr="00704514">
        <w:rPr>
          <w:u w:val="single"/>
        </w:rPr>
        <w:t>Collaboration and Communication</w:t>
      </w:r>
      <w:r>
        <w:t xml:space="preserve">: Foster a culture of collaboration and open communication among development, operations, and other stakeholders. Encourage cross-functional teams, regular meetings, and shared knowledge to ensure everyone is aligned and aware of upcoming changes. All </w:t>
      </w:r>
      <w:r w:rsidR="001F1B0B">
        <w:t xml:space="preserve">of </w:t>
      </w:r>
      <w:r>
        <w:t>this includ</w:t>
      </w:r>
      <w:r w:rsidR="001F1B0B">
        <w:t>es</w:t>
      </w:r>
      <w:r>
        <w:t xml:space="preserve"> QA and QA </w:t>
      </w:r>
      <w:r w:rsidR="001F1B0B">
        <w:t>resources</w:t>
      </w:r>
      <w:r>
        <w:t>.</w:t>
      </w:r>
    </w:p>
    <w:p w14:paraId="42DB7F4B" w14:textId="1C7F387C" w:rsidR="004B0135" w:rsidRDefault="004B0135" w:rsidP="00704514">
      <w:pPr>
        <w:pStyle w:val="ListParagraph"/>
        <w:numPr>
          <w:ilvl w:val="0"/>
          <w:numId w:val="42"/>
        </w:numPr>
      </w:pPr>
      <w:r w:rsidRPr="00704514">
        <w:rPr>
          <w:u w:val="single"/>
        </w:rPr>
        <w:t>Risk Assessment and Testing</w:t>
      </w:r>
      <w:r>
        <w:t>: Conduct thorough risk assessments</w:t>
      </w:r>
      <w:r w:rsidR="00C16925">
        <w:t xml:space="preserve"> and p</w:t>
      </w:r>
      <w:r>
        <w:t>erform automated and manual testing to validate changes before they are deployed to production. Test environments should closely resemble production to catch any issues early.</w:t>
      </w:r>
    </w:p>
    <w:p w14:paraId="52F2488D" w14:textId="77777777" w:rsidR="004B0135" w:rsidRDefault="004B0135" w:rsidP="00704514">
      <w:pPr>
        <w:pStyle w:val="ListParagraph"/>
        <w:numPr>
          <w:ilvl w:val="0"/>
          <w:numId w:val="42"/>
        </w:numPr>
      </w:pPr>
      <w:r w:rsidRPr="00704514">
        <w:rPr>
          <w:u w:val="single"/>
        </w:rPr>
        <w:t>Change Rollbacks and Backout Plans</w:t>
      </w:r>
      <w:r>
        <w:t>: Have a plan in place for rolling back changes if they introduce unforeseen issues. Document backout procedures and communicate them to the team to minimize downtime and mitigate risks.</w:t>
      </w:r>
    </w:p>
    <w:p w14:paraId="3984A90E" w14:textId="77777777" w:rsidR="004B0135" w:rsidRDefault="004B0135" w:rsidP="00704514">
      <w:pPr>
        <w:pStyle w:val="ListParagraph"/>
        <w:numPr>
          <w:ilvl w:val="0"/>
          <w:numId w:val="42"/>
        </w:numPr>
      </w:pPr>
      <w:r w:rsidRPr="00704514">
        <w:rPr>
          <w:u w:val="single"/>
        </w:rPr>
        <w:t>Continuous Learning and Improvement</w:t>
      </w:r>
      <w:r>
        <w:t>: Embrace a culture of continuous learning and improvement. Conduct post-implementation reviews (PIRs) to evaluate the effectiveness of changes and identify areas for improvement in the change management process itself.</w:t>
      </w:r>
    </w:p>
    <w:p w14:paraId="5575936E" w14:textId="77777777" w:rsidR="004B0135" w:rsidRDefault="004B0135" w:rsidP="00704514">
      <w:pPr>
        <w:pStyle w:val="ListParagraph"/>
        <w:numPr>
          <w:ilvl w:val="0"/>
          <w:numId w:val="42"/>
        </w:numPr>
      </w:pPr>
      <w:r w:rsidRPr="00704514">
        <w:rPr>
          <w:u w:val="single"/>
        </w:rPr>
        <w:t>Documentation and Knowledge Sharing</w:t>
      </w:r>
      <w:r>
        <w:t>: Document processes, configurations, and procedures to ensure knowledge is shared effectively. Maintain up-to-date documentation that helps in onboarding new team members and enables smoother collaboration.</w:t>
      </w:r>
    </w:p>
    <w:p w14:paraId="519F01E6" w14:textId="523118FD" w:rsidR="0023717C" w:rsidRPr="0023717C" w:rsidRDefault="0023717C" w:rsidP="0023717C">
      <w:pPr>
        <w:rPr>
          <w:rFonts w:cstheme="minorHAnsi"/>
        </w:rPr>
      </w:pPr>
      <w:r w:rsidRPr="0023717C">
        <w:rPr>
          <w:rFonts w:cstheme="minorHAnsi"/>
          <w:color w:val="000000"/>
        </w:rPr>
        <w:t>A final consideration is associated with the increasing number of digital solutions classified as Software as a Medical Device (</w:t>
      </w:r>
      <w:proofErr w:type="spellStart"/>
      <w:r w:rsidRPr="0023717C">
        <w:rPr>
          <w:rFonts w:cstheme="minorHAnsi"/>
          <w:color w:val="000000"/>
        </w:rPr>
        <w:t>SaMD</w:t>
      </w:r>
      <w:proofErr w:type="spellEnd"/>
      <w:r w:rsidRPr="0023717C">
        <w:rPr>
          <w:rFonts w:cstheme="minorHAnsi"/>
          <w:color w:val="000000"/>
        </w:rPr>
        <w:t>). In the IMDRF document Software as a Medical Device (</w:t>
      </w:r>
      <w:proofErr w:type="spellStart"/>
      <w:r w:rsidRPr="0023717C">
        <w:rPr>
          <w:rFonts w:cstheme="minorHAnsi"/>
          <w:color w:val="000000"/>
        </w:rPr>
        <w:t>SaMD</w:t>
      </w:r>
      <w:proofErr w:type="spellEnd"/>
      <w:r w:rsidRPr="0023717C">
        <w:rPr>
          <w:rFonts w:cstheme="minorHAnsi"/>
          <w:color w:val="000000"/>
        </w:rPr>
        <w:t>): Application of Quality Management System, it includes “There should be processes that manage risk arising from changes to system, environment, and data.” This points to the need for clear communications and change planning between application/device owners and the resources responsible for providing hosting services.</w:t>
      </w:r>
    </w:p>
    <w:p w14:paraId="03381AAB" w14:textId="655C82CE" w:rsidR="006B0726" w:rsidRDefault="00204C4C" w:rsidP="004B0135">
      <w:r>
        <w:t>C</w:t>
      </w:r>
      <w:r w:rsidR="004B0135">
        <w:t xml:space="preserve">hange management in DevOps is about balancing speed and stability. By implementing these practices, </w:t>
      </w:r>
      <w:r>
        <w:t>the regulated company</w:t>
      </w:r>
      <w:r w:rsidR="004B0135">
        <w:t xml:space="preserve"> </w:t>
      </w:r>
      <w:r>
        <w:t>should be able to f</w:t>
      </w:r>
      <w:r w:rsidR="004B0135">
        <w:t>oster a culture of agility, collaboration, and innovation while managing changes effectively.</w:t>
      </w:r>
    </w:p>
    <w:p w14:paraId="00945B4F" w14:textId="479A2332" w:rsidR="002164A4" w:rsidRDefault="007037DA" w:rsidP="00317522">
      <w:pPr>
        <w:pStyle w:val="Heading1"/>
      </w:pPr>
      <w:bookmarkStart w:id="54" w:name="_Toc272518909"/>
      <w:bookmarkStart w:id="55" w:name="_Toc138311624"/>
      <w:r>
        <w:t>Glossary</w:t>
      </w:r>
      <w:bookmarkEnd w:id="54"/>
      <w:bookmarkEnd w:id="55"/>
    </w:p>
    <w:tbl>
      <w:tblPr>
        <w:tblStyle w:val="TableGrid"/>
        <w:tblW w:w="0" w:type="auto"/>
        <w:tblLook w:val="04A0" w:firstRow="1" w:lastRow="0" w:firstColumn="1" w:lastColumn="0" w:noHBand="0" w:noVBand="1"/>
      </w:tblPr>
      <w:tblGrid>
        <w:gridCol w:w="1527"/>
        <w:gridCol w:w="7483"/>
      </w:tblGrid>
      <w:tr w:rsidR="00B2563D" w14:paraId="31088F19" w14:textId="77777777" w:rsidTr="00B2563D">
        <w:trPr>
          <w:tblHeader/>
        </w:trPr>
        <w:tc>
          <w:tcPr>
            <w:tcW w:w="1527" w:type="dxa"/>
            <w:shd w:val="clear" w:color="auto" w:fill="5B9BD5" w:themeFill="accent1"/>
          </w:tcPr>
          <w:p w14:paraId="79FB8FCF" w14:textId="77777777" w:rsidR="00D631BA" w:rsidRDefault="00D631BA">
            <w:r>
              <w:t>Term</w:t>
            </w:r>
          </w:p>
        </w:tc>
        <w:tc>
          <w:tcPr>
            <w:tcW w:w="7483" w:type="dxa"/>
            <w:shd w:val="clear" w:color="auto" w:fill="5B9BD5" w:themeFill="accent1"/>
          </w:tcPr>
          <w:p w14:paraId="42C8EBBD" w14:textId="77777777" w:rsidR="00D631BA" w:rsidRDefault="00D631BA" w:rsidP="00E64608">
            <w:r>
              <w:t>Definition</w:t>
            </w:r>
          </w:p>
        </w:tc>
      </w:tr>
      <w:tr w:rsidR="007E7022" w:rsidRPr="007C1073" w14:paraId="1D45705F" w14:textId="77777777" w:rsidTr="00B2563D">
        <w:tc>
          <w:tcPr>
            <w:tcW w:w="1527" w:type="dxa"/>
          </w:tcPr>
          <w:p w14:paraId="184FB50E" w14:textId="77777777" w:rsidR="007E7022" w:rsidRDefault="007E7022" w:rsidP="000026BA">
            <w:pPr>
              <w:rPr>
                <w:rFonts w:ascii="Calibri" w:hAnsi="Calibri" w:cs="Calibri"/>
                <w:color w:val="000000"/>
              </w:rPr>
            </w:pPr>
            <w:r>
              <w:rPr>
                <w:rFonts w:ascii="Calibri" w:hAnsi="Calibri" w:cs="Calibri"/>
                <w:color w:val="000000"/>
              </w:rPr>
              <w:t>Application capabilities type</w:t>
            </w:r>
          </w:p>
        </w:tc>
        <w:tc>
          <w:tcPr>
            <w:tcW w:w="7483" w:type="dxa"/>
          </w:tcPr>
          <w:p w14:paraId="44E19607" w14:textId="77777777" w:rsidR="007E7022" w:rsidRDefault="007E7022" w:rsidP="000026BA">
            <w:pPr>
              <w:rPr>
                <w:rFonts w:ascii="Calibri" w:hAnsi="Calibri" w:cs="Calibri"/>
                <w:color w:val="000000"/>
              </w:rPr>
            </w:pPr>
            <w:r>
              <w:rPr>
                <w:rFonts w:ascii="Calibri" w:hAnsi="Calibri" w:cs="Calibri"/>
                <w:color w:val="000000"/>
              </w:rPr>
              <w:t xml:space="preserve">(ISO) Cloud capabilities type in which the cloud service customer can use the cloud service provider's applications. </w:t>
            </w:r>
          </w:p>
        </w:tc>
      </w:tr>
      <w:tr w:rsidR="007E7022" w:rsidRPr="007C1073" w14:paraId="036CE1F6" w14:textId="77777777" w:rsidTr="00B2563D">
        <w:tc>
          <w:tcPr>
            <w:tcW w:w="1527" w:type="dxa"/>
            <w:vAlign w:val="center"/>
          </w:tcPr>
          <w:p w14:paraId="0BF4C096" w14:textId="77777777" w:rsidR="007E7022" w:rsidRDefault="007E7022" w:rsidP="000026BA">
            <w:pPr>
              <w:pStyle w:val="BodyText"/>
              <w:jc w:val="both"/>
            </w:pPr>
            <w:r>
              <w:t>Assessment</w:t>
            </w:r>
          </w:p>
        </w:tc>
        <w:tc>
          <w:tcPr>
            <w:tcW w:w="7483" w:type="dxa"/>
          </w:tcPr>
          <w:p w14:paraId="478CE653" w14:textId="4EFFA28E" w:rsidR="00472015" w:rsidRDefault="007E7022" w:rsidP="000026BA">
            <w:pPr>
              <w:pStyle w:val="BodyText"/>
              <w:jc w:val="both"/>
            </w:pPr>
            <w:r>
              <w:t xml:space="preserve">Assessment is </w:t>
            </w:r>
            <w:r w:rsidRPr="00A25844">
              <w:t>the action of assessing someone or something.</w:t>
            </w:r>
          </w:p>
        </w:tc>
      </w:tr>
      <w:tr w:rsidR="007E7022" w:rsidRPr="007C1073" w14:paraId="150B8E89" w14:textId="77777777" w:rsidTr="00B2563D">
        <w:tc>
          <w:tcPr>
            <w:tcW w:w="1527" w:type="dxa"/>
          </w:tcPr>
          <w:p w14:paraId="03254BC0" w14:textId="77777777" w:rsidR="007E7022" w:rsidRDefault="007E7022" w:rsidP="000026BA">
            <w:pPr>
              <w:rPr>
                <w:rFonts w:ascii="Calibri" w:hAnsi="Calibri" w:cs="Calibri"/>
                <w:color w:val="000000"/>
              </w:rPr>
            </w:pPr>
            <w:r>
              <w:rPr>
                <w:rFonts w:ascii="Calibri" w:hAnsi="Calibri" w:cs="Calibri"/>
                <w:color w:val="000000"/>
              </w:rPr>
              <w:t>Availability</w:t>
            </w:r>
          </w:p>
        </w:tc>
        <w:tc>
          <w:tcPr>
            <w:tcW w:w="7483" w:type="dxa"/>
          </w:tcPr>
          <w:p w14:paraId="48D7ACC3" w14:textId="77777777" w:rsidR="007E7022" w:rsidRDefault="007E7022" w:rsidP="000026BA">
            <w:pPr>
              <w:rPr>
                <w:rFonts w:ascii="Calibri" w:hAnsi="Calibri" w:cs="Calibri"/>
                <w:color w:val="000000"/>
              </w:rPr>
            </w:pPr>
            <w:r>
              <w:rPr>
                <w:rFonts w:ascii="Calibri" w:hAnsi="Calibri" w:cs="Calibri"/>
                <w:color w:val="000000"/>
              </w:rPr>
              <w:t xml:space="preserve">(ISO) Property of being accessible and usable upon demand by an authorized entity. </w:t>
            </w:r>
          </w:p>
        </w:tc>
      </w:tr>
      <w:tr w:rsidR="007E7022" w:rsidRPr="007C1073" w14:paraId="4021512D" w14:textId="77777777" w:rsidTr="00B2563D">
        <w:tc>
          <w:tcPr>
            <w:tcW w:w="1527" w:type="dxa"/>
            <w:vAlign w:val="center"/>
          </w:tcPr>
          <w:p w14:paraId="7767D224" w14:textId="77777777" w:rsidR="007E7022" w:rsidRPr="007C1073" w:rsidRDefault="007E7022" w:rsidP="000026BA">
            <w:pPr>
              <w:pStyle w:val="BodyText"/>
              <w:jc w:val="both"/>
            </w:pPr>
            <w:r>
              <w:t>Audit</w:t>
            </w:r>
          </w:p>
        </w:tc>
        <w:tc>
          <w:tcPr>
            <w:tcW w:w="7483" w:type="dxa"/>
          </w:tcPr>
          <w:p w14:paraId="64F5AE01" w14:textId="7DB8835C" w:rsidR="00472015" w:rsidRPr="007C1073" w:rsidRDefault="007E7022" w:rsidP="000026BA">
            <w:pPr>
              <w:pStyle w:val="BodyText"/>
              <w:jc w:val="both"/>
            </w:pPr>
            <w:r>
              <w:t>Audit (FDA)</w:t>
            </w:r>
            <w:r w:rsidRPr="00BD7ABA">
              <w:t>(IEEE)</w:t>
            </w:r>
            <w:r>
              <w:t>:</w:t>
            </w:r>
            <w:r w:rsidRPr="00BD7ABA">
              <w:t xml:space="preserve"> An independent examination of a work product or set of work products to assess compliance with specifications, standards, contractual agreements, or other criteria. See: functional configuration audit, physical configuration audit</w:t>
            </w:r>
          </w:p>
        </w:tc>
      </w:tr>
      <w:tr w:rsidR="00B2563D" w:rsidRPr="007C1073" w14:paraId="2FA83E77" w14:textId="77777777" w:rsidTr="00B2563D">
        <w:tc>
          <w:tcPr>
            <w:tcW w:w="1527" w:type="dxa"/>
            <w:vAlign w:val="center"/>
          </w:tcPr>
          <w:p w14:paraId="29C78587" w14:textId="64711779" w:rsidR="00B2563D" w:rsidRDefault="00B2563D" w:rsidP="000026BA">
            <w:pPr>
              <w:pStyle w:val="BodyText"/>
              <w:jc w:val="both"/>
            </w:pPr>
            <w:r>
              <w:t>CI</w:t>
            </w:r>
          </w:p>
        </w:tc>
        <w:tc>
          <w:tcPr>
            <w:tcW w:w="7483" w:type="dxa"/>
          </w:tcPr>
          <w:p w14:paraId="665A4224" w14:textId="619E584B" w:rsidR="00B2563D" w:rsidRDefault="00B2563D" w:rsidP="000026BA">
            <w:pPr>
              <w:pStyle w:val="BodyText"/>
              <w:jc w:val="both"/>
            </w:pPr>
            <w:r>
              <w:t>Configuration Item</w:t>
            </w:r>
          </w:p>
        </w:tc>
      </w:tr>
      <w:tr w:rsidR="007E7022" w:rsidRPr="007C1073" w14:paraId="4958B39D" w14:textId="77777777" w:rsidTr="00B2563D">
        <w:tc>
          <w:tcPr>
            <w:tcW w:w="1527" w:type="dxa"/>
          </w:tcPr>
          <w:p w14:paraId="59340C01" w14:textId="77777777" w:rsidR="007E7022" w:rsidRDefault="007E7022" w:rsidP="000026BA">
            <w:pPr>
              <w:rPr>
                <w:rFonts w:ascii="Calibri" w:hAnsi="Calibri" w:cs="Calibri"/>
                <w:color w:val="000000"/>
              </w:rPr>
            </w:pPr>
            <w:r>
              <w:rPr>
                <w:rFonts w:ascii="Calibri" w:hAnsi="Calibri" w:cs="Calibri"/>
                <w:color w:val="000000"/>
              </w:rPr>
              <w:t>Cloud application portability</w:t>
            </w:r>
          </w:p>
        </w:tc>
        <w:tc>
          <w:tcPr>
            <w:tcW w:w="7483" w:type="dxa"/>
          </w:tcPr>
          <w:p w14:paraId="3CBD6857" w14:textId="77777777" w:rsidR="007E7022" w:rsidRDefault="007E7022" w:rsidP="000026BA">
            <w:pPr>
              <w:rPr>
                <w:rFonts w:ascii="Calibri" w:hAnsi="Calibri" w:cs="Calibri"/>
                <w:color w:val="000000"/>
              </w:rPr>
            </w:pPr>
            <w:r>
              <w:rPr>
                <w:rFonts w:ascii="Calibri" w:hAnsi="Calibri" w:cs="Calibri"/>
                <w:color w:val="000000"/>
              </w:rPr>
              <w:t>(ISO) Ability to migrate an application from one cloud service to another cloud service</w:t>
            </w:r>
          </w:p>
        </w:tc>
      </w:tr>
      <w:tr w:rsidR="00B2563D" w14:paraId="1122FED6" w14:textId="77777777" w:rsidTr="00B2563D">
        <w:trPr>
          <w:trHeight w:val="563"/>
        </w:trPr>
        <w:tc>
          <w:tcPr>
            <w:tcW w:w="1527" w:type="dxa"/>
            <w:vAlign w:val="center"/>
          </w:tcPr>
          <w:p w14:paraId="306678F7" w14:textId="77777777" w:rsidR="00D631BA" w:rsidRDefault="00D631BA" w:rsidP="00BC4141">
            <w:r>
              <w:t>Cloud Auditor</w:t>
            </w:r>
          </w:p>
        </w:tc>
        <w:tc>
          <w:tcPr>
            <w:tcW w:w="7483" w:type="dxa"/>
          </w:tcPr>
          <w:p w14:paraId="4F0E8FE6" w14:textId="77777777" w:rsidR="00472015" w:rsidRDefault="00D631BA" w:rsidP="00E64608">
            <w:r>
              <w:t>Cloud Auditor (ISO): Cloud service partner with the responsibility to conduct an audit of the provision and use of cloud services.</w:t>
            </w:r>
          </w:p>
          <w:p w14:paraId="663B6F20" w14:textId="740DC369" w:rsidR="005F386A" w:rsidRPr="005F6D63" w:rsidRDefault="005F386A" w:rsidP="00E64608"/>
        </w:tc>
      </w:tr>
      <w:tr w:rsidR="00B2563D" w:rsidRPr="007C1073" w14:paraId="6A755964" w14:textId="77777777" w:rsidTr="00B2563D">
        <w:tc>
          <w:tcPr>
            <w:tcW w:w="1527" w:type="dxa"/>
          </w:tcPr>
          <w:p w14:paraId="36B82CD7" w14:textId="77777777" w:rsidR="00B2563D" w:rsidRDefault="00B2563D" w:rsidP="000026BA">
            <w:pPr>
              <w:rPr>
                <w:rFonts w:ascii="Calibri" w:hAnsi="Calibri" w:cs="Calibri"/>
                <w:color w:val="000000"/>
              </w:rPr>
            </w:pPr>
            <w:r>
              <w:rPr>
                <w:rFonts w:ascii="Calibri" w:hAnsi="Calibri" w:cs="Calibri"/>
                <w:color w:val="000000"/>
              </w:rPr>
              <w:t>Cloud capabilities type</w:t>
            </w:r>
          </w:p>
        </w:tc>
        <w:tc>
          <w:tcPr>
            <w:tcW w:w="7483" w:type="dxa"/>
          </w:tcPr>
          <w:p w14:paraId="54C4FDA2" w14:textId="77777777" w:rsidR="00B2563D" w:rsidRDefault="00B2563D" w:rsidP="000026BA">
            <w:pPr>
              <w:rPr>
                <w:rFonts w:ascii="Calibri" w:hAnsi="Calibri" w:cs="Calibri"/>
                <w:color w:val="000000"/>
              </w:rPr>
            </w:pPr>
            <w:r>
              <w:rPr>
                <w:rFonts w:ascii="Calibri" w:hAnsi="Calibri" w:cs="Calibri"/>
                <w:color w:val="000000"/>
              </w:rPr>
              <w:t xml:space="preserve">(ISO) Classification of the functionality provided by a cloud service to the cloud service customer, based on resources used. </w:t>
            </w:r>
          </w:p>
          <w:p w14:paraId="10FAA440" w14:textId="77777777" w:rsidR="005F386A" w:rsidRDefault="005F386A" w:rsidP="000026BA">
            <w:pPr>
              <w:rPr>
                <w:rFonts w:ascii="Calibri" w:hAnsi="Calibri" w:cs="Calibri"/>
                <w:color w:val="000000"/>
              </w:rPr>
            </w:pPr>
          </w:p>
          <w:p w14:paraId="529CF524" w14:textId="280989DD" w:rsidR="005F386A" w:rsidRDefault="005F386A" w:rsidP="000026BA">
            <w:pPr>
              <w:rPr>
                <w:rFonts w:ascii="Calibri" w:hAnsi="Calibri" w:cs="Calibri"/>
                <w:color w:val="000000"/>
              </w:rPr>
            </w:pPr>
          </w:p>
        </w:tc>
      </w:tr>
      <w:tr w:rsidR="00B2563D" w:rsidRPr="007C1073" w14:paraId="4B6391C1" w14:textId="77777777" w:rsidTr="00B2563D">
        <w:tc>
          <w:tcPr>
            <w:tcW w:w="1527" w:type="dxa"/>
          </w:tcPr>
          <w:p w14:paraId="32F34013" w14:textId="77777777" w:rsidR="00B2563D" w:rsidRPr="0019465E" w:rsidRDefault="00B2563D" w:rsidP="000026BA">
            <w:r>
              <w:t>C</w:t>
            </w:r>
            <w:r w:rsidRPr="0019465E">
              <w:t>loud computing</w:t>
            </w:r>
          </w:p>
        </w:tc>
        <w:tc>
          <w:tcPr>
            <w:tcW w:w="7483" w:type="dxa"/>
          </w:tcPr>
          <w:p w14:paraId="38EDDE36" w14:textId="77777777" w:rsidR="00B2563D" w:rsidRDefault="00B2563D" w:rsidP="000026BA">
            <w:r>
              <w:t>(ISO) P</w:t>
            </w:r>
            <w:r w:rsidRPr="0019465E">
              <w:t>aradigm for enabling network access to a scalable and elastic pool of shareable physical or virtual resources with self-service provisionin</w:t>
            </w:r>
            <w:r>
              <w:t>g and administration on-demand.</w:t>
            </w:r>
          </w:p>
          <w:p w14:paraId="7F431402" w14:textId="00B7E6BE" w:rsidR="00472015" w:rsidRPr="0019465E" w:rsidRDefault="00B2563D" w:rsidP="000026BA">
            <w:r>
              <w:t>(</w:t>
            </w:r>
            <w:r w:rsidRPr="00B50548">
              <w:t>CNSSI 4009-2015</w:t>
            </w:r>
            <w:r>
              <w:t>)</w:t>
            </w:r>
            <w:r w:rsidRPr="00B50548">
              <w:t xml:space="preserve">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w:t>
            </w:r>
          </w:p>
        </w:tc>
      </w:tr>
      <w:tr w:rsidR="00B2563D" w:rsidRPr="007C1073" w14:paraId="35574643" w14:textId="77777777" w:rsidTr="00B2563D">
        <w:tc>
          <w:tcPr>
            <w:tcW w:w="1527" w:type="dxa"/>
          </w:tcPr>
          <w:p w14:paraId="45DB6ADC" w14:textId="77777777" w:rsidR="00B2563D" w:rsidRPr="00BE0567" w:rsidRDefault="00B2563D" w:rsidP="000026BA">
            <w:r>
              <w:t>Cloud S</w:t>
            </w:r>
            <w:r w:rsidRPr="00BE0567">
              <w:t>ervice</w:t>
            </w:r>
          </w:p>
        </w:tc>
        <w:tc>
          <w:tcPr>
            <w:tcW w:w="7483" w:type="dxa"/>
          </w:tcPr>
          <w:p w14:paraId="0D9F5A48" w14:textId="4B185D16" w:rsidR="00472015" w:rsidRPr="00BE0567" w:rsidRDefault="00B2563D" w:rsidP="000026BA">
            <w:r>
              <w:t xml:space="preserve">(ISO) </w:t>
            </w:r>
            <w:r w:rsidRPr="00BE0567">
              <w:t xml:space="preserve">One or more capabilities offered via cloud computing invoked using a defined </w:t>
            </w:r>
          </w:p>
        </w:tc>
      </w:tr>
      <w:tr w:rsidR="00B2563D" w14:paraId="7464AF28" w14:textId="77777777" w:rsidTr="00B2563D">
        <w:tc>
          <w:tcPr>
            <w:tcW w:w="1527" w:type="dxa"/>
            <w:vAlign w:val="center"/>
          </w:tcPr>
          <w:p w14:paraId="069713EA" w14:textId="77777777" w:rsidR="00D631BA" w:rsidRDefault="00D631BA" w:rsidP="00BC4141">
            <w:r>
              <w:t>Cloud Service Broker</w:t>
            </w:r>
          </w:p>
        </w:tc>
        <w:tc>
          <w:tcPr>
            <w:tcW w:w="7483" w:type="dxa"/>
          </w:tcPr>
          <w:p w14:paraId="6CE3A603" w14:textId="55DAEF3A" w:rsidR="00472015" w:rsidRPr="005F6D63" w:rsidRDefault="00D631BA" w:rsidP="00915591">
            <w:r>
              <w:t>Cloud Service Broker (ISO): Cloud service partner that negotiates relationships between cloud service customers and cloud service providers.</w:t>
            </w:r>
          </w:p>
        </w:tc>
      </w:tr>
      <w:tr w:rsidR="00B2563D" w:rsidRPr="007C1073" w14:paraId="44FB4DEA" w14:textId="77777777" w:rsidTr="00B2563D">
        <w:tc>
          <w:tcPr>
            <w:tcW w:w="1527" w:type="dxa"/>
          </w:tcPr>
          <w:p w14:paraId="07AD5144" w14:textId="77777777" w:rsidR="00B2563D" w:rsidRDefault="00B2563D" w:rsidP="000026BA">
            <w:pPr>
              <w:rPr>
                <w:rFonts w:ascii="Calibri" w:hAnsi="Calibri" w:cs="Calibri"/>
                <w:color w:val="000000"/>
              </w:rPr>
            </w:pPr>
            <w:r>
              <w:rPr>
                <w:rFonts w:ascii="Calibri" w:hAnsi="Calibri" w:cs="Calibri"/>
                <w:color w:val="000000"/>
              </w:rPr>
              <w:t>Cloud Service Category</w:t>
            </w:r>
          </w:p>
        </w:tc>
        <w:tc>
          <w:tcPr>
            <w:tcW w:w="7483" w:type="dxa"/>
          </w:tcPr>
          <w:p w14:paraId="1F135D9F" w14:textId="05C8A6ED" w:rsidR="00472015" w:rsidRDefault="00B2563D" w:rsidP="000026BA">
            <w:pPr>
              <w:rPr>
                <w:rFonts w:ascii="Calibri" w:hAnsi="Calibri" w:cs="Calibri"/>
                <w:color w:val="000000"/>
              </w:rPr>
            </w:pPr>
            <w:r>
              <w:rPr>
                <w:rFonts w:ascii="Calibri" w:hAnsi="Calibri" w:cs="Calibri"/>
                <w:color w:val="000000"/>
              </w:rPr>
              <w:t xml:space="preserve">(ISO) Group of cloud services that possess some common set of qualities. </w:t>
            </w:r>
            <w:r>
              <w:rPr>
                <w:rFonts w:ascii="Calibri" w:hAnsi="Calibri" w:cs="Calibri"/>
                <w:color w:val="000000"/>
              </w:rPr>
              <w:br/>
              <w:t xml:space="preserve">NOTE – A cloud service category can include capabilities from one or more cloud </w:t>
            </w:r>
            <w:proofErr w:type="gramStart"/>
            <w:r>
              <w:rPr>
                <w:rFonts w:ascii="Calibri" w:hAnsi="Calibri" w:cs="Calibri"/>
                <w:color w:val="000000"/>
              </w:rPr>
              <w:t>capabilities</w:t>
            </w:r>
            <w:proofErr w:type="gramEnd"/>
            <w:r>
              <w:rPr>
                <w:rFonts w:ascii="Calibri" w:hAnsi="Calibri" w:cs="Calibri"/>
                <w:color w:val="000000"/>
              </w:rPr>
              <w:t xml:space="preserve"> types</w:t>
            </w:r>
          </w:p>
        </w:tc>
      </w:tr>
      <w:tr w:rsidR="00B2563D" w14:paraId="781E12C1" w14:textId="77777777" w:rsidTr="00B2563D">
        <w:tc>
          <w:tcPr>
            <w:tcW w:w="1527" w:type="dxa"/>
            <w:vAlign w:val="center"/>
          </w:tcPr>
          <w:p w14:paraId="55A08B4A" w14:textId="77777777" w:rsidR="00D631BA" w:rsidRDefault="00D631BA" w:rsidP="00BC4141">
            <w:r w:rsidRPr="00915591">
              <w:t>Cloud Service Customers</w:t>
            </w:r>
          </w:p>
        </w:tc>
        <w:tc>
          <w:tcPr>
            <w:tcW w:w="7483" w:type="dxa"/>
          </w:tcPr>
          <w:p w14:paraId="0B0C762B" w14:textId="2CCC8EEE" w:rsidR="00472015" w:rsidRPr="005F6D63" w:rsidRDefault="00D631BA" w:rsidP="00472015">
            <w:r>
              <w:t>Cloud Service Customer (ISO): Party which is in a business relationship for the purpose of using cloud services.</w:t>
            </w:r>
          </w:p>
        </w:tc>
      </w:tr>
      <w:tr w:rsidR="00B2563D" w:rsidRPr="007C1073" w14:paraId="0D335335" w14:textId="77777777" w:rsidTr="00B2563D">
        <w:tc>
          <w:tcPr>
            <w:tcW w:w="1527" w:type="dxa"/>
          </w:tcPr>
          <w:p w14:paraId="740D55ED" w14:textId="77777777" w:rsidR="00B2563D" w:rsidRDefault="00B2563D" w:rsidP="000026BA">
            <w:pPr>
              <w:rPr>
                <w:rFonts w:ascii="Calibri" w:hAnsi="Calibri" w:cs="Calibri"/>
                <w:color w:val="000000"/>
              </w:rPr>
            </w:pPr>
            <w:r>
              <w:rPr>
                <w:rFonts w:ascii="Calibri" w:hAnsi="Calibri" w:cs="Calibri"/>
                <w:color w:val="000000"/>
              </w:rPr>
              <w:t>Cloud Service Customer data</w:t>
            </w:r>
          </w:p>
        </w:tc>
        <w:tc>
          <w:tcPr>
            <w:tcW w:w="7483" w:type="dxa"/>
          </w:tcPr>
          <w:p w14:paraId="3ABBFBA4" w14:textId="636B4C88" w:rsidR="00B2563D" w:rsidRDefault="00B2563D" w:rsidP="000026BA">
            <w:pPr>
              <w:rPr>
                <w:rFonts w:ascii="Calibri" w:hAnsi="Calibri" w:cs="Calibri"/>
                <w:color w:val="000000"/>
              </w:rPr>
            </w:pPr>
            <w:r>
              <w:rPr>
                <w:rFonts w:ascii="Calibri" w:hAnsi="Calibri" w:cs="Calibri"/>
                <w:color w:val="000000"/>
              </w:rPr>
              <w:t xml:space="preserve">(ISO) Class of data objects under the control, by legal or other reasons, of the cloud </w:t>
            </w:r>
            <w:r>
              <w:rPr>
                <w:rFonts w:ascii="Calibri" w:hAnsi="Calibri" w:cs="Calibri"/>
                <w:color w:val="000000"/>
              </w:rPr>
              <w:br/>
              <w:t xml:space="preserve">service customer that were input to the cloud </w:t>
            </w:r>
            <w:r w:rsidR="00E5341A">
              <w:rPr>
                <w:rFonts w:ascii="Calibri" w:hAnsi="Calibri" w:cs="Calibri"/>
                <w:color w:val="000000"/>
              </w:rPr>
              <w:t>service or</w:t>
            </w:r>
            <w:r>
              <w:rPr>
                <w:rFonts w:ascii="Calibri" w:hAnsi="Calibri" w:cs="Calibri"/>
                <w:color w:val="000000"/>
              </w:rPr>
              <w:t xml:space="preserve"> resulted from exercising the capabilities of the cloud service by or on behalf of the cloud service customer via the published interface of the cloud service. </w:t>
            </w:r>
            <w:r>
              <w:rPr>
                <w:rFonts w:ascii="Calibri" w:hAnsi="Calibri" w:cs="Calibri"/>
                <w:color w:val="000000"/>
              </w:rPr>
              <w:br/>
              <w:t xml:space="preserve">NOTE 1 – An example of legal controls is copyright. </w:t>
            </w:r>
            <w:r>
              <w:rPr>
                <w:rFonts w:ascii="Calibri" w:hAnsi="Calibri" w:cs="Calibri"/>
                <w:color w:val="000000"/>
              </w:rPr>
              <w:br/>
              <w:t xml:space="preserve">NOTE 2 – It may be that the cloud service contains or operates on data that is not cloud service customer data; this might be data made available by the cloud service providers, or obtained from another source, or it might be publicly available data. However, any output data produced by the actions of the cloud service customer using the capabilities of the cloud service on this data is likely to be cloud service customer data, following the general principles of copyright, unless there are specific provisions in the cloud service agreement to the contrary. </w:t>
            </w:r>
          </w:p>
          <w:p w14:paraId="3EA64F0C" w14:textId="77777777" w:rsidR="00472015" w:rsidRDefault="00472015" w:rsidP="000026BA">
            <w:pPr>
              <w:rPr>
                <w:rFonts w:ascii="Calibri" w:hAnsi="Calibri" w:cs="Calibri"/>
                <w:color w:val="000000"/>
              </w:rPr>
            </w:pPr>
          </w:p>
        </w:tc>
      </w:tr>
      <w:tr w:rsidR="00B2563D" w:rsidRPr="007C1073" w14:paraId="170DC161" w14:textId="77777777" w:rsidTr="00B2563D">
        <w:tc>
          <w:tcPr>
            <w:tcW w:w="1527" w:type="dxa"/>
          </w:tcPr>
          <w:p w14:paraId="050BD58D" w14:textId="77777777" w:rsidR="00B2563D" w:rsidRDefault="00B2563D" w:rsidP="000026BA">
            <w:pPr>
              <w:rPr>
                <w:rFonts w:ascii="Calibri" w:hAnsi="Calibri" w:cs="Calibri"/>
                <w:color w:val="000000"/>
              </w:rPr>
            </w:pPr>
            <w:r>
              <w:rPr>
                <w:rFonts w:ascii="Calibri" w:hAnsi="Calibri" w:cs="Calibri"/>
                <w:color w:val="000000"/>
              </w:rPr>
              <w:t>Cloud Service derived data</w:t>
            </w:r>
          </w:p>
        </w:tc>
        <w:tc>
          <w:tcPr>
            <w:tcW w:w="7483" w:type="dxa"/>
          </w:tcPr>
          <w:p w14:paraId="2EB0410A" w14:textId="77777777" w:rsidR="00B2563D" w:rsidRDefault="00B2563D" w:rsidP="000026BA">
            <w:pPr>
              <w:rPr>
                <w:rFonts w:ascii="Calibri" w:hAnsi="Calibri" w:cs="Calibri"/>
                <w:color w:val="000000"/>
              </w:rPr>
            </w:pPr>
            <w:r>
              <w:rPr>
                <w:rFonts w:ascii="Calibri" w:hAnsi="Calibri" w:cs="Calibri"/>
                <w:color w:val="000000"/>
              </w:rPr>
              <w:t xml:space="preserve">(ISO) Class of data objects under cloud service provider control that are derived </w:t>
            </w:r>
            <w:proofErr w:type="gramStart"/>
            <w:r>
              <w:rPr>
                <w:rFonts w:ascii="Calibri" w:hAnsi="Calibri" w:cs="Calibri"/>
                <w:color w:val="000000"/>
              </w:rPr>
              <w:t>as a result of</w:t>
            </w:r>
            <w:proofErr w:type="gramEnd"/>
            <w:r>
              <w:rPr>
                <w:rFonts w:ascii="Calibri" w:hAnsi="Calibri" w:cs="Calibri"/>
                <w:color w:val="000000"/>
              </w:rPr>
              <w:t xml:space="preserve"> interaction with the cloud service by the cloud service customer. </w:t>
            </w:r>
            <w:r>
              <w:rPr>
                <w:rFonts w:ascii="Calibri" w:hAnsi="Calibri" w:cs="Calibri"/>
                <w:color w:val="000000"/>
              </w:rPr>
              <w:br/>
              <w:t>NOTE – Cloud service derived data includes log data containing records of who used the service, at what times, which functions, types of data involved and so on. It can also include information about the numbers of authorized users and their identities. It can also include any configuration or customization data, where the cloud service has such configuration and customization capabilities.</w:t>
            </w:r>
          </w:p>
          <w:p w14:paraId="320C25AA" w14:textId="77777777" w:rsidR="00472015" w:rsidRDefault="00472015" w:rsidP="000026BA">
            <w:pPr>
              <w:rPr>
                <w:rFonts w:ascii="Calibri" w:hAnsi="Calibri" w:cs="Calibri"/>
                <w:color w:val="000000"/>
              </w:rPr>
            </w:pPr>
          </w:p>
        </w:tc>
      </w:tr>
      <w:tr w:rsidR="00B2563D" w:rsidRPr="007C1073" w14:paraId="174731BE" w14:textId="77777777" w:rsidTr="00B2563D">
        <w:tc>
          <w:tcPr>
            <w:tcW w:w="1527" w:type="dxa"/>
          </w:tcPr>
          <w:p w14:paraId="05C058D2" w14:textId="77777777" w:rsidR="00B2563D" w:rsidRDefault="00B2563D" w:rsidP="000026BA">
            <w:pPr>
              <w:rPr>
                <w:rFonts w:ascii="Calibri" w:hAnsi="Calibri" w:cs="Calibri"/>
                <w:color w:val="000000"/>
              </w:rPr>
            </w:pPr>
            <w:r>
              <w:rPr>
                <w:rFonts w:ascii="Calibri" w:hAnsi="Calibri" w:cs="Calibri"/>
                <w:color w:val="000000"/>
              </w:rPr>
              <w:t>Cloud Service Partner</w:t>
            </w:r>
          </w:p>
        </w:tc>
        <w:tc>
          <w:tcPr>
            <w:tcW w:w="7483" w:type="dxa"/>
          </w:tcPr>
          <w:p w14:paraId="3F1C14B4" w14:textId="77777777" w:rsidR="00B2563D" w:rsidRDefault="00B2563D" w:rsidP="000026BA">
            <w:pPr>
              <w:rPr>
                <w:rFonts w:ascii="Calibri" w:hAnsi="Calibri" w:cs="Calibri"/>
                <w:color w:val="000000"/>
              </w:rPr>
            </w:pPr>
            <w:r>
              <w:rPr>
                <w:rFonts w:ascii="Calibri" w:hAnsi="Calibri" w:cs="Calibri"/>
                <w:color w:val="000000"/>
              </w:rPr>
              <w:t xml:space="preserve">(ISO) </w:t>
            </w:r>
            <w:proofErr w:type="gramStart"/>
            <w:r>
              <w:rPr>
                <w:rFonts w:ascii="Calibri" w:hAnsi="Calibri" w:cs="Calibri"/>
                <w:color w:val="000000"/>
              </w:rPr>
              <w:t>Party</w:t>
            </w:r>
            <w:proofErr w:type="gramEnd"/>
            <w:r>
              <w:rPr>
                <w:rFonts w:ascii="Calibri" w:hAnsi="Calibri" w:cs="Calibri"/>
                <w:color w:val="000000"/>
              </w:rPr>
              <w:t xml:space="preserve"> which is engaged in support of, or auxiliary to, activities of either the </w:t>
            </w:r>
            <w:r>
              <w:rPr>
                <w:rFonts w:ascii="Calibri" w:hAnsi="Calibri" w:cs="Calibri"/>
                <w:color w:val="000000"/>
              </w:rPr>
              <w:br/>
              <w:t xml:space="preserve">cloud service provider or the cloud service customer, or both. </w:t>
            </w:r>
          </w:p>
          <w:p w14:paraId="335321DF" w14:textId="77777777" w:rsidR="00B2563D" w:rsidRDefault="00B2563D" w:rsidP="000026BA">
            <w:pPr>
              <w:rPr>
                <w:rFonts w:ascii="Calibri" w:hAnsi="Calibri" w:cs="Calibri"/>
                <w:color w:val="000000"/>
              </w:rPr>
            </w:pPr>
          </w:p>
        </w:tc>
      </w:tr>
      <w:tr w:rsidR="00B2563D" w14:paraId="0C1A2D57" w14:textId="77777777" w:rsidTr="00B2563D">
        <w:tc>
          <w:tcPr>
            <w:tcW w:w="1527" w:type="dxa"/>
            <w:vAlign w:val="center"/>
          </w:tcPr>
          <w:p w14:paraId="34C26CBA" w14:textId="77777777" w:rsidR="00D631BA" w:rsidRDefault="00D631BA" w:rsidP="00BC4141">
            <w:r>
              <w:t>Cloud Service Provider</w:t>
            </w:r>
          </w:p>
        </w:tc>
        <w:tc>
          <w:tcPr>
            <w:tcW w:w="7483" w:type="dxa"/>
          </w:tcPr>
          <w:p w14:paraId="21D1E3BA" w14:textId="77777777" w:rsidR="00D631BA" w:rsidRPr="005F6D63" w:rsidRDefault="00D631BA" w:rsidP="0070576E">
            <w:r w:rsidRPr="0070576E">
              <w:t>Cloud Service Provider</w:t>
            </w:r>
            <w:r>
              <w:t xml:space="preserve"> (ISO)</w:t>
            </w:r>
            <w:r w:rsidRPr="0070576E">
              <w:t>: Party whi</w:t>
            </w:r>
            <w:r>
              <w:t xml:space="preserve">ch makes cloud services </w:t>
            </w:r>
            <w:r w:rsidRPr="0070576E">
              <w:t>available.</w:t>
            </w:r>
          </w:p>
        </w:tc>
      </w:tr>
      <w:tr w:rsidR="00B2563D" w:rsidRPr="007C1073" w14:paraId="0CD0F75D" w14:textId="77777777" w:rsidTr="00B2563D">
        <w:tc>
          <w:tcPr>
            <w:tcW w:w="1527" w:type="dxa"/>
          </w:tcPr>
          <w:p w14:paraId="0CFCB2D0" w14:textId="77777777" w:rsidR="00B2563D" w:rsidRPr="00B81AAA" w:rsidRDefault="00B2563D" w:rsidP="000026BA">
            <w:r>
              <w:t>Cloud Service P</w:t>
            </w:r>
            <w:r w:rsidRPr="00B81AAA">
              <w:t>rovider data</w:t>
            </w:r>
          </w:p>
        </w:tc>
        <w:tc>
          <w:tcPr>
            <w:tcW w:w="7483" w:type="dxa"/>
          </w:tcPr>
          <w:p w14:paraId="55649F37" w14:textId="77777777" w:rsidR="00B2563D" w:rsidRDefault="00B2563D" w:rsidP="000026BA">
            <w:r>
              <w:t xml:space="preserve">(ISO) </w:t>
            </w:r>
            <w:r w:rsidRPr="00B81AAA">
              <w:t xml:space="preserve">Class of data objects, specific to the operation of the cloud service, under the control of the cloud service provider. </w:t>
            </w:r>
          </w:p>
          <w:p w14:paraId="103CF007" w14:textId="77777777" w:rsidR="00B2563D" w:rsidRPr="00B81AAA" w:rsidRDefault="00B2563D" w:rsidP="000026BA"/>
        </w:tc>
      </w:tr>
      <w:tr w:rsidR="00B2563D" w14:paraId="150D954B" w14:textId="77777777" w:rsidTr="00B2563D">
        <w:tc>
          <w:tcPr>
            <w:tcW w:w="1527" w:type="dxa"/>
            <w:vAlign w:val="center"/>
          </w:tcPr>
          <w:p w14:paraId="58B1A8B4" w14:textId="77777777" w:rsidR="00D631BA" w:rsidRDefault="00D631BA" w:rsidP="00BC4141">
            <w:r w:rsidRPr="00DA1BA9">
              <w:t>Commercial-Off-The-Shelf (COTS)</w:t>
            </w:r>
          </w:p>
          <w:p w14:paraId="32A1F156" w14:textId="77777777" w:rsidR="00472015" w:rsidRDefault="00472015" w:rsidP="00BC4141"/>
          <w:p w14:paraId="634A231E" w14:textId="77777777" w:rsidR="00472015" w:rsidRDefault="00472015" w:rsidP="00BC4141"/>
        </w:tc>
        <w:tc>
          <w:tcPr>
            <w:tcW w:w="7483" w:type="dxa"/>
          </w:tcPr>
          <w:p w14:paraId="2E321ECD" w14:textId="77777777" w:rsidR="00D631BA" w:rsidRDefault="00D631BA" w:rsidP="005F6D63">
            <w:r>
              <w:t>I</w:t>
            </w:r>
            <w:r w:rsidRPr="00DA1BA9">
              <w:t xml:space="preserve">s a term used to describe the purchase of packaged solutions which are then adapted to satisfy the needs of the purchasing organization, rather than the commissioning of custom-made, or bespoke, </w:t>
            </w:r>
            <w:proofErr w:type="gramStart"/>
            <w:r w:rsidRPr="00DA1BA9">
              <w:t>solutions</w:t>
            </w:r>
            <w:proofErr w:type="gramEnd"/>
          </w:p>
          <w:p w14:paraId="53D45D56" w14:textId="77777777" w:rsidR="00BC4141" w:rsidRPr="005F6D63" w:rsidRDefault="00BC4141" w:rsidP="005F6D63"/>
        </w:tc>
      </w:tr>
      <w:tr w:rsidR="00B2563D" w:rsidRPr="007C1073" w14:paraId="206A4569" w14:textId="77777777" w:rsidTr="00B2563D">
        <w:tc>
          <w:tcPr>
            <w:tcW w:w="1527" w:type="dxa"/>
          </w:tcPr>
          <w:p w14:paraId="6B96129F" w14:textId="77777777" w:rsidR="00B2563D" w:rsidRDefault="00B2563D" w:rsidP="000026BA">
            <w:pPr>
              <w:rPr>
                <w:rFonts w:ascii="Calibri" w:hAnsi="Calibri" w:cs="Calibri"/>
                <w:color w:val="000000"/>
              </w:rPr>
            </w:pPr>
            <w:r>
              <w:rPr>
                <w:rFonts w:ascii="Calibri" w:hAnsi="Calibri" w:cs="Calibri"/>
                <w:color w:val="000000"/>
              </w:rPr>
              <w:t>Compute as a Service (</w:t>
            </w:r>
            <w:proofErr w:type="spellStart"/>
            <w:r>
              <w:rPr>
                <w:rFonts w:ascii="Calibri" w:hAnsi="Calibri" w:cs="Calibri"/>
                <w:color w:val="000000"/>
              </w:rPr>
              <w:t>CompaaS</w:t>
            </w:r>
            <w:proofErr w:type="spellEnd"/>
            <w:r>
              <w:rPr>
                <w:rFonts w:ascii="Calibri" w:hAnsi="Calibri" w:cs="Calibri"/>
                <w:color w:val="000000"/>
              </w:rPr>
              <w:t>)</w:t>
            </w:r>
          </w:p>
        </w:tc>
        <w:tc>
          <w:tcPr>
            <w:tcW w:w="7483" w:type="dxa"/>
          </w:tcPr>
          <w:p w14:paraId="775559FD" w14:textId="2A945DE4" w:rsidR="00472015" w:rsidRDefault="00B2563D" w:rsidP="000026BA">
            <w:pPr>
              <w:rPr>
                <w:rFonts w:ascii="Calibri" w:hAnsi="Calibri" w:cs="Calibri"/>
                <w:color w:val="000000"/>
              </w:rPr>
            </w:pPr>
            <w:r>
              <w:rPr>
                <w:rFonts w:ascii="Calibri" w:hAnsi="Calibri" w:cs="Calibri"/>
                <w:color w:val="000000"/>
              </w:rPr>
              <w:t>(ISO) Cloud service category in which the capabilities provided to the cloud service customer are the provision and use of processing resources needed to deploy and run software.</w:t>
            </w:r>
            <w:r>
              <w:rPr>
                <w:rFonts w:ascii="Calibri" w:hAnsi="Calibri" w:cs="Calibri"/>
                <w:color w:val="000000"/>
              </w:rPr>
              <w:br/>
              <w:t xml:space="preserve">NOTE – To run some software, capabilities other than processing resources may be needed. </w:t>
            </w:r>
          </w:p>
        </w:tc>
      </w:tr>
      <w:tr w:rsidR="00B2563D" w:rsidRPr="007C1073" w14:paraId="7BC917DE" w14:textId="77777777" w:rsidTr="00B2563D">
        <w:tc>
          <w:tcPr>
            <w:tcW w:w="1527" w:type="dxa"/>
          </w:tcPr>
          <w:p w14:paraId="2C2CB7F1" w14:textId="77777777" w:rsidR="00B2563D" w:rsidRDefault="00B2563D" w:rsidP="000026BA">
            <w:pPr>
              <w:rPr>
                <w:rFonts w:ascii="Calibri" w:hAnsi="Calibri" w:cs="Calibri"/>
                <w:color w:val="000000"/>
              </w:rPr>
            </w:pPr>
            <w:r>
              <w:rPr>
                <w:rFonts w:ascii="Calibri" w:hAnsi="Calibri" w:cs="Calibri"/>
                <w:color w:val="000000"/>
              </w:rPr>
              <w:t>Community Cloud</w:t>
            </w:r>
          </w:p>
        </w:tc>
        <w:tc>
          <w:tcPr>
            <w:tcW w:w="7483" w:type="dxa"/>
          </w:tcPr>
          <w:p w14:paraId="534EA74F" w14:textId="77777777" w:rsidR="00B2563D" w:rsidRDefault="00B2563D" w:rsidP="000026BA">
            <w:pPr>
              <w:rPr>
                <w:rFonts w:ascii="Calibri" w:hAnsi="Calibri" w:cs="Calibri"/>
                <w:color w:val="000000"/>
              </w:rPr>
            </w:pPr>
            <w:r>
              <w:rPr>
                <w:rFonts w:ascii="Calibri" w:hAnsi="Calibri" w:cs="Calibri"/>
                <w:color w:val="000000"/>
              </w:rPr>
              <w:t xml:space="preserve">Cloud deployment model where cloud services exclusively support and are shared by a specific collection of cloud service customers who have shared requirements and a relationship with one another, and where resources are controlled by at least one member of this collection. </w:t>
            </w:r>
          </w:p>
          <w:p w14:paraId="4A997277" w14:textId="77777777" w:rsidR="00472015" w:rsidRDefault="00472015" w:rsidP="000026BA">
            <w:pPr>
              <w:rPr>
                <w:rFonts w:ascii="Calibri" w:hAnsi="Calibri" w:cs="Calibri"/>
                <w:color w:val="000000"/>
              </w:rPr>
            </w:pPr>
          </w:p>
        </w:tc>
      </w:tr>
      <w:tr w:rsidR="00B2563D" w:rsidRPr="007C1073" w14:paraId="3AC111F6" w14:textId="77777777" w:rsidTr="00B2563D">
        <w:tc>
          <w:tcPr>
            <w:tcW w:w="1527" w:type="dxa"/>
          </w:tcPr>
          <w:p w14:paraId="30A97B93" w14:textId="77777777" w:rsidR="00B2563D" w:rsidRDefault="00B2563D" w:rsidP="000026BA">
            <w:pPr>
              <w:rPr>
                <w:rFonts w:ascii="Calibri" w:hAnsi="Calibri" w:cs="Calibri"/>
                <w:color w:val="000000"/>
              </w:rPr>
            </w:pPr>
            <w:r>
              <w:rPr>
                <w:rFonts w:ascii="Calibri" w:hAnsi="Calibri" w:cs="Calibri"/>
                <w:color w:val="000000"/>
              </w:rPr>
              <w:t>Confidentiality</w:t>
            </w:r>
          </w:p>
        </w:tc>
        <w:tc>
          <w:tcPr>
            <w:tcW w:w="7483" w:type="dxa"/>
          </w:tcPr>
          <w:p w14:paraId="3E941DF9" w14:textId="5C5CD407" w:rsidR="00B2563D" w:rsidRDefault="00B2563D" w:rsidP="000026BA">
            <w:pPr>
              <w:rPr>
                <w:rFonts w:ascii="Calibri" w:hAnsi="Calibri" w:cs="Calibri"/>
                <w:color w:val="000000"/>
              </w:rPr>
            </w:pPr>
            <w:r>
              <w:rPr>
                <w:rFonts w:ascii="Calibri" w:hAnsi="Calibri" w:cs="Calibri"/>
                <w:color w:val="000000"/>
              </w:rPr>
              <w:t xml:space="preserve">(ISO) Property that information is not made available or disclosed to unauthorized individuals, entities, or </w:t>
            </w:r>
            <w:r w:rsidR="00704514">
              <w:rPr>
                <w:rFonts w:ascii="Calibri" w:hAnsi="Calibri" w:cs="Calibri"/>
                <w:color w:val="000000"/>
              </w:rPr>
              <w:t>processes.</w:t>
            </w:r>
            <w:r>
              <w:rPr>
                <w:rFonts w:ascii="Calibri" w:hAnsi="Calibri" w:cs="Calibri"/>
                <w:color w:val="000000"/>
              </w:rPr>
              <w:t xml:space="preserve"> </w:t>
            </w:r>
          </w:p>
          <w:p w14:paraId="70F67A5C" w14:textId="77777777" w:rsidR="00472015" w:rsidRDefault="00472015" w:rsidP="000026BA">
            <w:pPr>
              <w:rPr>
                <w:rFonts w:ascii="Calibri" w:hAnsi="Calibri" w:cs="Calibri"/>
                <w:color w:val="000000"/>
              </w:rPr>
            </w:pPr>
          </w:p>
        </w:tc>
      </w:tr>
      <w:tr w:rsidR="00B2563D" w:rsidRPr="007C1073" w14:paraId="2DA79412" w14:textId="77777777" w:rsidTr="000026BA">
        <w:tc>
          <w:tcPr>
            <w:tcW w:w="1527" w:type="dxa"/>
          </w:tcPr>
          <w:p w14:paraId="56912EC2" w14:textId="77777777" w:rsidR="00B2563D" w:rsidRDefault="00B2563D" w:rsidP="000026BA">
            <w:pPr>
              <w:rPr>
                <w:rFonts w:ascii="Calibri" w:hAnsi="Calibri" w:cs="Calibri"/>
                <w:color w:val="000000"/>
              </w:rPr>
            </w:pPr>
            <w:r>
              <w:rPr>
                <w:rFonts w:ascii="Calibri" w:hAnsi="Calibri" w:cs="Calibri"/>
                <w:color w:val="000000"/>
              </w:rPr>
              <w:t>data portability</w:t>
            </w:r>
          </w:p>
        </w:tc>
        <w:tc>
          <w:tcPr>
            <w:tcW w:w="7483" w:type="dxa"/>
          </w:tcPr>
          <w:p w14:paraId="1ABBB1FA" w14:textId="77777777" w:rsidR="00B2563D" w:rsidRDefault="00B2563D" w:rsidP="000026BA">
            <w:pPr>
              <w:rPr>
                <w:rFonts w:ascii="Calibri" w:hAnsi="Calibri" w:cs="Calibri"/>
                <w:color w:val="000000"/>
              </w:rPr>
            </w:pPr>
            <w:r>
              <w:rPr>
                <w:rFonts w:ascii="Calibri" w:hAnsi="Calibri" w:cs="Calibri"/>
                <w:color w:val="000000"/>
              </w:rPr>
              <w:t xml:space="preserve">(ISO) Ability to easily transfer data from one system to another without being required to re-enter data. </w:t>
            </w:r>
            <w:r>
              <w:rPr>
                <w:rFonts w:ascii="Calibri" w:hAnsi="Calibri" w:cs="Calibri"/>
                <w:color w:val="000000"/>
              </w:rPr>
              <w:br/>
              <w:t xml:space="preserve">NOTE – It is the ease of moving the data that is the essence here. This might be achieved by the source system supplying the data in exactly the format that is accepted by the target system. But even if the formats do not match, the transformation between them may be simple and straightforward to achieve with commonly available tools. On the other hand, a process of printing out the </w:t>
            </w:r>
            <w:r>
              <w:rPr>
                <w:rFonts w:ascii="Calibri" w:hAnsi="Calibri" w:cs="Calibri"/>
                <w:color w:val="000000"/>
              </w:rPr>
              <w:br/>
              <w:t xml:space="preserve">data and rekeying it for the target system could not be described as "easy". </w:t>
            </w:r>
          </w:p>
        </w:tc>
      </w:tr>
      <w:tr w:rsidR="00B2563D" w:rsidRPr="007C1073" w14:paraId="65C23DF2" w14:textId="77777777" w:rsidTr="000026BA">
        <w:tc>
          <w:tcPr>
            <w:tcW w:w="1527" w:type="dxa"/>
          </w:tcPr>
          <w:p w14:paraId="10E83EA0" w14:textId="77777777" w:rsidR="00B2563D" w:rsidRDefault="00B2563D" w:rsidP="000026BA">
            <w:pPr>
              <w:rPr>
                <w:rFonts w:ascii="Calibri" w:hAnsi="Calibri" w:cs="Calibri"/>
                <w:color w:val="000000"/>
              </w:rPr>
            </w:pPr>
            <w:r>
              <w:rPr>
                <w:rFonts w:ascii="Calibri" w:hAnsi="Calibri" w:cs="Calibri"/>
                <w:color w:val="000000"/>
              </w:rPr>
              <w:t>Data Storage as a Service (</w:t>
            </w:r>
            <w:proofErr w:type="spellStart"/>
            <w:r>
              <w:rPr>
                <w:rFonts w:ascii="Calibri" w:hAnsi="Calibri" w:cs="Calibri"/>
                <w:color w:val="000000"/>
              </w:rPr>
              <w:t>DSaaS</w:t>
            </w:r>
            <w:proofErr w:type="spellEnd"/>
            <w:r>
              <w:rPr>
                <w:rFonts w:ascii="Calibri" w:hAnsi="Calibri" w:cs="Calibri"/>
                <w:color w:val="000000"/>
              </w:rPr>
              <w:t>)</w:t>
            </w:r>
          </w:p>
        </w:tc>
        <w:tc>
          <w:tcPr>
            <w:tcW w:w="7483" w:type="dxa"/>
          </w:tcPr>
          <w:p w14:paraId="38B72990" w14:textId="77777777" w:rsidR="00B2563D" w:rsidRDefault="00B2563D" w:rsidP="000026BA">
            <w:pPr>
              <w:rPr>
                <w:rFonts w:ascii="Calibri" w:hAnsi="Calibri" w:cs="Calibri"/>
                <w:color w:val="000000"/>
              </w:rPr>
            </w:pPr>
            <w:r>
              <w:rPr>
                <w:rFonts w:ascii="Calibri" w:hAnsi="Calibri" w:cs="Calibri"/>
                <w:color w:val="000000"/>
              </w:rPr>
              <w:t xml:space="preserve">(ISO) Cloud service category in which the capability provided to the cloud service customer is the provision and use of data storage and related capabilities. </w:t>
            </w:r>
            <w:r>
              <w:rPr>
                <w:rFonts w:ascii="Calibri" w:hAnsi="Calibri" w:cs="Calibri"/>
                <w:color w:val="000000"/>
              </w:rPr>
              <w:br/>
              <w:t xml:space="preserve">NOTE – </w:t>
            </w:r>
            <w:proofErr w:type="spellStart"/>
            <w:r>
              <w:rPr>
                <w:rFonts w:ascii="Calibri" w:hAnsi="Calibri" w:cs="Calibri"/>
                <w:color w:val="000000"/>
              </w:rPr>
              <w:t>DSaaS</w:t>
            </w:r>
            <w:proofErr w:type="spellEnd"/>
            <w:r>
              <w:rPr>
                <w:rFonts w:ascii="Calibri" w:hAnsi="Calibri" w:cs="Calibri"/>
                <w:color w:val="000000"/>
              </w:rPr>
              <w:t xml:space="preserve"> can provide any of the three cloud </w:t>
            </w:r>
            <w:proofErr w:type="gramStart"/>
            <w:r>
              <w:rPr>
                <w:rFonts w:ascii="Calibri" w:hAnsi="Calibri" w:cs="Calibri"/>
                <w:color w:val="000000"/>
              </w:rPr>
              <w:t>capabilities</w:t>
            </w:r>
            <w:proofErr w:type="gramEnd"/>
            <w:r>
              <w:rPr>
                <w:rFonts w:ascii="Calibri" w:hAnsi="Calibri" w:cs="Calibri"/>
                <w:color w:val="000000"/>
              </w:rPr>
              <w:t xml:space="preserve"> types. </w:t>
            </w:r>
          </w:p>
        </w:tc>
      </w:tr>
      <w:tr w:rsidR="00B2563D" w14:paraId="47FC00C0" w14:textId="77777777" w:rsidTr="00B2563D">
        <w:tc>
          <w:tcPr>
            <w:tcW w:w="1527" w:type="dxa"/>
            <w:vAlign w:val="center"/>
          </w:tcPr>
          <w:p w14:paraId="45252B0C" w14:textId="77777777" w:rsidR="00D631BA" w:rsidRDefault="00D631BA" w:rsidP="00BC4141">
            <w:r w:rsidRPr="00B02450">
              <w:t>ECs</w:t>
            </w:r>
          </w:p>
        </w:tc>
        <w:tc>
          <w:tcPr>
            <w:tcW w:w="7483" w:type="dxa"/>
          </w:tcPr>
          <w:p w14:paraId="6D03DB2B" w14:textId="18E2C07C" w:rsidR="00BC4141" w:rsidRDefault="00D631BA">
            <w:r w:rsidRPr="00B02450">
              <w:t>Ethics Committees</w:t>
            </w:r>
          </w:p>
        </w:tc>
      </w:tr>
      <w:tr w:rsidR="00B2563D" w14:paraId="65772F40" w14:textId="77777777" w:rsidTr="00B2563D">
        <w:tc>
          <w:tcPr>
            <w:tcW w:w="1527" w:type="dxa"/>
            <w:vAlign w:val="center"/>
          </w:tcPr>
          <w:p w14:paraId="29B5909B" w14:textId="77777777" w:rsidR="00D631BA" w:rsidRDefault="00D631BA" w:rsidP="00BC4141">
            <w:proofErr w:type="spellStart"/>
            <w:r>
              <w:t>GxP</w:t>
            </w:r>
            <w:proofErr w:type="spellEnd"/>
          </w:p>
        </w:tc>
        <w:tc>
          <w:tcPr>
            <w:tcW w:w="7483" w:type="dxa"/>
          </w:tcPr>
          <w:p w14:paraId="35794F65" w14:textId="77777777" w:rsidR="00D631BA" w:rsidRDefault="00D631BA" w:rsidP="005F6D63">
            <w:proofErr w:type="spellStart"/>
            <w:r w:rsidRPr="00FE3A52">
              <w:t>GxP</w:t>
            </w:r>
            <w:proofErr w:type="spellEnd"/>
            <w:r w:rsidRPr="00FE3A52">
              <w:t xml:space="preserve"> is a general abbreviation for the "good practice" quality guidelines and regulations. The "x" stands for the various fields</w:t>
            </w:r>
            <w:r>
              <w:t>, e.g.</w:t>
            </w:r>
          </w:p>
          <w:p w14:paraId="09E79B4E" w14:textId="77777777" w:rsidR="00D631BA" w:rsidRDefault="00D631BA" w:rsidP="00F53F7E">
            <w:pPr>
              <w:pStyle w:val="ListParagraph"/>
              <w:numPr>
                <w:ilvl w:val="0"/>
                <w:numId w:val="31"/>
              </w:numPr>
            </w:pPr>
            <w:r>
              <w:t>Good clinical practice, or GCP</w:t>
            </w:r>
          </w:p>
          <w:p w14:paraId="153DA900" w14:textId="77777777" w:rsidR="00D631BA" w:rsidRPr="00FE3A52" w:rsidRDefault="00D631BA" w:rsidP="00F53F7E">
            <w:pPr>
              <w:pStyle w:val="ListParagraph"/>
              <w:numPr>
                <w:ilvl w:val="0"/>
                <w:numId w:val="31"/>
              </w:numPr>
            </w:pPr>
            <w:r w:rsidRPr="00FE3A52">
              <w:t>Good distribution practice, or GDP</w:t>
            </w:r>
          </w:p>
          <w:p w14:paraId="7989182C" w14:textId="77777777" w:rsidR="00D631BA" w:rsidRDefault="00D631BA" w:rsidP="00F53F7E">
            <w:pPr>
              <w:pStyle w:val="ListParagraph"/>
              <w:numPr>
                <w:ilvl w:val="0"/>
                <w:numId w:val="31"/>
              </w:numPr>
            </w:pPr>
            <w:r>
              <w:t>Good laboratory practice, or GLP</w:t>
            </w:r>
          </w:p>
          <w:p w14:paraId="1B715283" w14:textId="77777777" w:rsidR="00D631BA" w:rsidRPr="005F6D63" w:rsidRDefault="00D631BA" w:rsidP="005F6D63">
            <w:pPr>
              <w:pStyle w:val="ListParagraph"/>
              <w:numPr>
                <w:ilvl w:val="0"/>
                <w:numId w:val="31"/>
              </w:numPr>
            </w:pPr>
            <w:r>
              <w:t>Good manufacturing practice, or GMP</w:t>
            </w:r>
          </w:p>
        </w:tc>
      </w:tr>
      <w:tr w:rsidR="00B2563D" w:rsidRPr="007C1073" w14:paraId="3A520C2E" w14:textId="77777777" w:rsidTr="000026BA">
        <w:tc>
          <w:tcPr>
            <w:tcW w:w="1527" w:type="dxa"/>
          </w:tcPr>
          <w:p w14:paraId="02B5DF5F" w14:textId="77777777" w:rsidR="00B2563D" w:rsidRDefault="00B2563D" w:rsidP="000026BA">
            <w:pPr>
              <w:rPr>
                <w:rFonts w:ascii="Calibri" w:hAnsi="Calibri" w:cs="Calibri"/>
                <w:color w:val="000000"/>
              </w:rPr>
            </w:pPr>
            <w:r>
              <w:rPr>
                <w:rFonts w:ascii="Calibri" w:hAnsi="Calibri" w:cs="Calibri"/>
                <w:color w:val="000000"/>
              </w:rPr>
              <w:t>High availability</w:t>
            </w:r>
          </w:p>
        </w:tc>
        <w:tc>
          <w:tcPr>
            <w:tcW w:w="7483" w:type="dxa"/>
          </w:tcPr>
          <w:p w14:paraId="1646EF2B" w14:textId="77777777" w:rsidR="00B2563D" w:rsidRDefault="00B2563D" w:rsidP="000026BA">
            <w:pPr>
              <w:rPr>
                <w:rFonts w:ascii="Calibri" w:hAnsi="Calibri" w:cs="Calibri"/>
                <w:color w:val="000000"/>
              </w:rPr>
            </w:pPr>
            <w:r>
              <w:rPr>
                <w:rFonts w:ascii="Calibri" w:hAnsi="Calibri" w:cs="Calibri"/>
                <w:color w:val="000000"/>
              </w:rPr>
              <w:t>(NIST) A failover feature to ensure availability during device or component interruptions.</w:t>
            </w:r>
          </w:p>
        </w:tc>
      </w:tr>
      <w:tr w:rsidR="00B2563D" w:rsidRPr="007C1073" w14:paraId="5E8A8EDD" w14:textId="77777777" w:rsidTr="000026BA">
        <w:tc>
          <w:tcPr>
            <w:tcW w:w="1527" w:type="dxa"/>
          </w:tcPr>
          <w:p w14:paraId="78AA1D18" w14:textId="77777777" w:rsidR="00B2563D" w:rsidRDefault="00B2563D" w:rsidP="000026BA">
            <w:pPr>
              <w:rPr>
                <w:rFonts w:ascii="Calibri" w:hAnsi="Calibri" w:cs="Calibri"/>
                <w:color w:val="000000"/>
              </w:rPr>
            </w:pPr>
            <w:r>
              <w:rPr>
                <w:rFonts w:ascii="Calibri" w:hAnsi="Calibri" w:cs="Calibri"/>
                <w:color w:val="000000"/>
              </w:rPr>
              <w:t>Hybrid Cloud</w:t>
            </w:r>
          </w:p>
        </w:tc>
        <w:tc>
          <w:tcPr>
            <w:tcW w:w="7483" w:type="dxa"/>
          </w:tcPr>
          <w:p w14:paraId="1CC98DD8" w14:textId="09CE4A3D" w:rsidR="00B2563D" w:rsidRDefault="00B2563D" w:rsidP="000026BA">
            <w:pPr>
              <w:rPr>
                <w:rFonts w:ascii="Calibri" w:hAnsi="Calibri" w:cs="Calibri"/>
                <w:color w:val="000000"/>
              </w:rPr>
            </w:pPr>
            <w:r>
              <w:rPr>
                <w:rFonts w:ascii="Calibri" w:hAnsi="Calibri" w:cs="Calibri"/>
                <w:color w:val="000000"/>
              </w:rPr>
              <w:t xml:space="preserve">(ISO) Cloud deployment model using at least two different cloud deployment </w:t>
            </w:r>
            <w:r w:rsidR="005F386A">
              <w:rPr>
                <w:rFonts w:ascii="Calibri" w:hAnsi="Calibri" w:cs="Calibri"/>
                <w:color w:val="000000"/>
              </w:rPr>
              <w:t>models.</w:t>
            </w:r>
          </w:p>
          <w:p w14:paraId="312B2080" w14:textId="32A270AE" w:rsidR="005F386A" w:rsidRDefault="005F386A" w:rsidP="000026BA">
            <w:pPr>
              <w:rPr>
                <w:rFonts w:ascii="Calibri" w:hAnsi="Calibri" w:cs="Calibri"/>
                <w:color w:val="000000"/>
              </w:rPr>
            </w:pPr>
          </w:p>
        </w:tc>
      </w:tr>
      <w:tr w:rsidR="00B2563D" w14:paraId="112CCABC" w14:textId="77777777" w:rsidTr="00B2563D">
        <w:tc>
          <w:tcPr>
            <w:tcW w:w="1527" w:type="dxa"/>
            <w:vAlign w:val="center"/>
          </w:tcPr>
          <w:p w14:paraId="285C84EA" w14:textId="77777777" w:rsidR="00D631BA" w:rsidRDefault="00D631BA" w:rsidP="00BC4141">
            <w:r>
              <w:t>IaaS</w:t>
            </w:r>
          </w:p>
        </w:tc>
        <w:tc>
          <w:tcPr>
            <w:tcW w:w="7483" w:type="dxa"/>
          </w:tcPr>
          <w:p w14:paraId="0063D69C" w14:textId="77777777" w:rsidR="00D631BA" w:rsidRDefault="00D631BA">
            <w:r w:rsidRPr="005F6D63">
              <w:t>I</w:t>
            </w:r>
            <w:r>
              <w:t>nfrastructure as a Service (NIST</w:t>
            </w:r>
            <w:r w:rsidRPr="005F6D63">
              <w:t xml:space="preserve">). The capability provided to the consumer is to provision processing, storage, networks, and other fundamental computing resources where the consumer </w:t>
            </w:r>
            <w:proofErr w:type="gramStart"/>
            <w:r w:rsidRPr="005F6D63">
              <w:t>is able to</w:t>
            </w:r>
            <w:proofErr w:type="gramEnd"/>
            <w:r w:rsidRPr="005F6D63">
              <w:t xml:space="preserve"> deploy and run arbitrary software, which can include operating systems and applications. The consumer does not manage or control the underlying cloud infrastructure but has control over operating systems, storage, and deployed applications; and possibly limited control of select networking components (e.g., host firewalls).</w:t>
            </w:r>
          </w:p>
        </w:tc>
      </w:tr>
      <w:tr w:rsidR="00B2563D" w:rsidRPr="007C1073" w14:paraId="61CAD418" w14:textId="77777777" w:rsidTr="000026BA">
        <w:tc>
          <w:tcPr>
            <w:tcW w:w="1527" w:type="dxa"/>
          </w:tcPr>
          <w:p w14:paraId="2A04B545" w14:textId="77777777" w:rsidR="00B2563D" w:rsidRDefault="00B2563D" w:rsidP="000026BA">
            <w:pPr>
              <w:rPr>
                <w:rFonts w:ascii="Calibri" w:hAnsi="Calibri" w:cs="Calibri"/>
                <w:color w:val="000000"/>
              </w:rPr>
            </w:pPr>
            <w:r>
              <w:rPr>
                <w:rFonts w:ascii="Calibri" w:hAnsi="Calibri" w:cs="Calibri"/>
                <w:color w:val="000000"/>
              </w:rPr>
              <w:t>Information Security</w:t>
            </w:r>
          </w:p>
        </w:tc>
        <w:tc>
          <w:tcPr>
            <w:tcW w:w="7483" w:type="dxa"/>
          </w:tcPr>
          <w:p w14:paraId="11AAD570" w14:textId="77777777" w:rsidR="00B2563D" w:rsidRDefault="00B2563D" w:rsidP="000026BA">
            <w:pPr>
              <w:rPr>
                <w:rFonts w:ascii="Calibri" w:hAnsi="Calibri" w:cs="Calibri"/>
                <w:color w:val="000000"/>
              </w:rPr>
            </w:pPr>
            <w:r>
              <w:rPr>
                <w:rFonts w:ascii="Calibri" w:hAnsi="Calibri" w:cs="Calibri"/>
                <w:color w:val="000000"/>
              </w:rPr>
              <w:t xml:space="preserve">(ISO) Preservation of confidentiality, </w:t>
            </w:r>
            <w:proofErr w:type="gramStart"/>
            <w:r>
              <w:rPr>
                <w:rFonts w:ascii="Calibri" w:hAnsi="Calibri" w:cs="Calibri"/>
                <w:color w:val="000000"/>
              </w:rPr>
              <w:t>integrity</w:t>
            </w:r>
            <w:proofErr w:type="gramEnd"/>
            <w:r>
              <w:rPr>
                <w:rFonts w:ascii="Calibri" w:hAnsi="Calibri" w:cs="Calibri"/>
                <w:color w:val="000000"/>
              </w:rPr>
              <w:t xml:space="preserve"> and availability of information.  NOTE – In addition, other properties, such as authenticity, accountability, non-repudiation, and reliability can also be involved. </w:t>
            </w:r>
          </w:p>
        </w:tc>
      </w:tr>
      <w:tr w:rsidR="00B2563D" w:rsidRPr="007C1073" w14:paraId="3E5DAE66" w14:textId="77777777" w:rsidTr="000026BA">
        <w:tc>
          <w:tcPr>
            <w:tcW w:w="1527" w:type="dxa"/>
          </w:tcPr>
          <w:p w14:paraId="1E28F857" w14:textId="77777777" w:rsidR="00B2563D" w:rsidRDefault="00B2563D" w:rsidP="000026BA">
            <w:pPr>
              <w:rPr>
                <w:rFonts w:ascii="Calibri" w:hAnsi="Calibri" w:cs="Calibri"/>
                <w:color w:val="000000"/>
              </w:rPr>
            </w:pPr>
            <w:r>
              <w:rPr>
                <w:rFonts w:ascii="Calibri" w:hAnsi="Calibri" w:cs="Calibri"/>
                <w:color w:val="000000"/>
              </w:rPr>
              <w:t>Infrastructure capabilities type</w:t>
            </w:r>
          </w:p>
        </w:tc>
        <w:tc>
          <w:tcPr>
            <w:tcW w:w="7483" w:type="dxa"/>
          </w:tcPr>
          <w:p w14:paraId="24CBED5C" w14:textId="77777777" w:rsidR="00B2563D" w:rsidRDefault="00B2563D" w:rsidP="000026BA">
            <w:pPr>
              <w:rPr>
                <w:rFonts w:ascii="Calibri" w:hAnsi="Calibri" w:cs="Calibri"/>
                <w:color w:val="000000"/>
              </w:rPr>
            </w:pPr>
            <w:r>
              <w:rPr>
                <w:rFonts w:ascii="Calibri" w:hAnsi="Calibri" w:cs="Calibri"/>
                <w:color w:val="000000"/>
              </w:rPr>
              <w:t xml:space="preserve">(ISO) Cloud capabilities type in which the cloud service customer can provision and use processing, </w:t>
            </w:r>
            <w:proofErr w:type="gramStart"/>
            <w:r>
              <w:rPr>
                <w:rFonts w:ascii="Calibri" w:hAnsi="Calibri" w:cs="Calibri"/>
                <w:color w:val="000000"/>
              </w:rPr>
              <w:t>storage</w:t>
            </w:r>
            <w:proofErr w:type="gramEnd"/>
            <w:r>
              <w:rPr>
                <w:rFonts w:ascii="Calibri" w:hAnsi="Calibri" w:cs="Calibri"/>
                <w:color w:val="000000"/>
              </w:rPr>
              <w:t xml:space="preserve"> or networking resources. </w:t>
            </w:r>
          </w:p>
        </w:tc>
      </w:tr>
      <w:tr w:rsidR="00B2563D" w:rsidRPr="007C1073" w14:paraId="2CC0FE37" w14:textId="77777777" w:rsidTr="000026BA">
        <w:tc>
          <w:tcPr>
            <w:tcW w:w="1527" w:type="dxa"/>
          </w:tcPr>
          <w:p w14:paraId="693E5321" w14:textId="77777777" w:rsidR="00B2563D" w:rsidRDefault="00B2563D" w:rsidP="000026BA">
            <w:pPr>
              <w:rPr>
                <w:rFonts w:ascii="Calibri" w:hAnsi="Calibri" w:cs="Calibri"/>
                <w:color w:val="000000"/>
              </w:rPr>
            </w:pPr>
            <w:r>
              <w:rPr>
                <w:rFonts w:ascii="Calibri" w:hAnsi="Calibri" w:cs="Calibri"/>
                <w:color w:val="000000"/>
              </w:rPr>
              <w:t>Integrity</w:t>
            </w:r>
          </w:p>
        </w:tc>
        <w:tc>
          <w:tcPr>
            <w:tcW w:w="7483" w:type="dxa"/>
          </w:tcPr>
          <w:p w14:paraId="17081958" w14:textId="77777777" w:rsidR="00B2563D" w:rsidRDefault="00B2563D" w:rsidP="000026BA">
            <w:pPr>
              <w:rPr>
                <w:rFonts w:ascii="Calibri" w:hAnsi="Calibri" w:cs="Calibri"/>
                <w:color w:val="000000"/>
              </w:rPr>
            </w:pPr>
            <w:r>
              <w:rPr>
                <w:rFonts w:ascii="Calibri" w:hAnsi="Calibri" w:cs="Calibri"/>
                <w:color w:val="000000"/>
              </w:rPr>
              <w:t xml:space="preserve">(ISO) Property of accuracy and completeness. </w:t>
            </w:r>
          </w:p>
        </w:tc>
      </w:tr>
      <w:tr w:rsidR="00B2563D" w14:paraId="69313190" w14:textId="77777777" w:rsidTr="00B2563D">
        <w:tc>
          <w:tcPr>
            <w:tcW w:w="1527" w:type="dxa"/>
            <w:vAlign w:val="center"/>
          </w:tcPr>
          <w:p w14:paraId="7E6A3A47" w14:textId="77777777" w:rsidR="00D631BA" w:rsidRDefault="00D631BA" w:rsidP="00BC4141">
            <w:r>
              <w:t>IQ</w:t>
            </w:r>
          </w:p>
        </w:tc>
        <w:tc>
          <w:tcPr>
            <w:tcW w:w="7483" w:type="dxa"/>
          </w:tcPr>
          <w:p w14:paraId="4C4AB5E7" w14:textId="77777777" w:rsidR="00D631BA" w:rsidRDefault="00D631BA">
            <w:r w:rsidRPr="00B02450">
              <w:t>Qua</w:t>
            </w:r>
            <w:r>
              <w:t xml:space="preserve">lification, installation (FDA). </w:t>
            </w:r>
            <w:r w:rsidRPr="00B02450">
              <w:t>Establishing confidence that process equipment and ancillary systems are compliant with appropriate codes and approved design intentions, and that manufacturer's recommendations are suitably considered.</w:t>
            </w:r>
          </w:p>
        </w:tc>
      </w:tr>
      <w:tr w:rsidR="00B2563D" w14:paraId="7BC2D3EC" w14:textId="77777777" w:rsidTr="00B2563D">
        <w:tc>
          <w:tcPr>
            <w:tcW w:w="1527" w:type="dxa"/>
            <w:vAlign w:val="center"/>
          </w:tcPr>
          <w:p w14:paraId="1F474891" w14:textId="77777777" w:rsidR="00D631BA" w:rsidRDefault="00D631BA" w:rsidP="00BC4141">
            <w:r w:rsidRPr="00B02450">
              <w:t>IRBs</w:t>
            </w:r>
          </w:p>
        </w:tc>
        <w:tc>
          <w:tcPr>
            <w:tcW w:w="7483" w:type="dxa"/>
          </w:tcPr>
          <w:p w14:paraId="0CB7A1B2" w14:textId="77777777" w:rsidR="00D631BA" w:rsidRDefault="00D631BA" w:rsidP="00B02450">
            <w:r>
              <w:t>Institutional Review Boards</w:t>
            </w:r>
          </w:p>
        </w:tc>
      </w:tr>
      <w:tr w:rsidR="00B2563D" w14:paraId="5CC4044F" w14:textId="77777777" w:rsidTr="00B2563D">
        <w:tc>
          <w:tcPr>
            <w:tcW w:w="1527" w:type="dxa"/>
            <w:vAlign w:val="center"/>
          </w:tcPr>
          <w:p w14:paraId="7C48EFA7" w14:textId="77777777" w:rsidR="00D631BA" w:rsidRDefault="00D631BA" w:rsidP="00BC4141">
            <w:r w:rsidRPr="001D3ED4">
              <w:t xml:space="preserve">LIMS </w:t>
            </w:r>
          </w:p>
        </w:tc>
        <w:tc>
          <w:tcPr>
            <w:tcW w:w="7483" w:type="dxa"/>
          </w:tcPr>
          <w:p w14:paraId="151EE1AA" w14:textId="77777777" w:rsidR="00D631BA" w:rsidRPr="005F6D63" w:rsidRDefault="00D631BA" w:rsidP="001D3ED4">
            <w:r w:rsidRPr="001D3ED4">
              <w:t>Laboratory information management system, a software-based information management tool for laboratories</w:t>
            </w:r>
          </w:p>
        </w:tc>
      </w:tr>
      <w:tr w:rsidR="00B2563D" w:rsidRPr="007C1073" w14:paraId="0370B3B6" w14:textId="77777777" w:rsidTr="000026BA">
        <w:tc>
          <w:tcPr>
            <w:tcW w:w="1527" w:type="dxa"/>
          </w:tcPr>
          <w:p w14:paraId="4375E02F" w14:textId="77777777" w:rsidR="00B2563D" w:rsidRPr="005E7090" w:rsidRDefault="00B2563D" w:rsidP="000026BA">
            <w:r>
              <w:t>M</w:t>
            </w:r>
            <w:r w:rsidRPr="005E7090">
              <w:t>ulti-tenancy</w:t>
            </w:r>
          </w:p>
        </w:tc>
        <w:tc>
          <w:tcPr>
            <w:tcW w:w="7483" w:type="dxa"/>
          </w:tcPr>
          <w:p w14:paraId="60ED42F1" w14:textId="77777777" w:rsidR="00B2563D" w:rsidRDefault="00B2563D" w:rsidP="000026BA">
            <w:r>
              <w:t xml:space="preserve">(ISO) </w:t>
            </w:r>
            <w:r w:rsidRPr="005E7090">
              <w:t xml:space="preserve">Allocation of physical or virtual resources such that multiple tenants and their computations and data are isolated from and inaccessible to one another. </w:t>
            </w:r>
          </w:p>
          <w:p w14:paraId="1C2646A4" w14:textId="77777777" w:rsidR="00472015" w:rsidRDefault="00472015" w:rsidP="000026BA"/>
        </w:tc>
      </w:tr>
      <w:tr w:rsidR="00B2563D" w14:paraId="1030B557" w14:textId="77777777" w:rsidTr="00B2563D">
        <w:tc>
          <w:tcPr>
            <w:tcW w:w="1527" w:type="dxa"/>
            <w:vAlign w:val="center"/>
          </w:tcPr>
          <w:p w14:paraId="66E62476" w14:textId="77777777" w:rsidR="00D631BA" w:rsidRDefault="00D631BA" w:rsidP="00BC4141">
            <w:r>
              <w:t>OQ</w:t>
            </w:r>
          </w:p>
        </w:tc>
        <w:tc>
          <w:tcPr>
            <w:tcW w:w="7483" w:type="dxa"/>
          </w:tcPr>
          <w:p w14:paraId="09B431F5" w14:textId="4862A93F" w:rsidR="00D631BA" w:rsidRDefault="00D631BA">
            <w:r w:rsidRPr="00B02450">
              <w:t>Qu</w:t>
            </w:r>
            <w:r>
              <w:t xml:space="preserve">alification, operational (FDA). </w:t>
            </w:r>
            <w:r w:rsidRPr="00B02450">
              <w:t xml:space="preserve">Establishing confidence that process equipment and sub-systems are capable of consistently operating within established limits and </w:t>
            </w:r>
            <w:r w:rsidR="005F386A" w:rsidRPr="00B02450">
              <w:t>tolerances.</w:t>
            </w:r>
          </w:p>
          <w:p w14:paraId="2611B3F0" w14:textId="77777777" w:rsidR="00472015" w:rsidRDefault="00472015"/>
        </w:tc>
      </w:tr>
      <w:tr w:rsidR="00B2563D" w14:paraId="3AA6DDDB" w14:textId="77777777" w:rsidTr="00B2563D">
        <w:tc>
          <w:tcPr>
            <w:tcW w:w="1527" w:type="dxa"/>
            <w:vAlign w:val="center"/>
          </w:tcPr>
          <w:p w14:paraId="37A97218" w14:textId="77777777" w:rsidR="00D631BA" w:rsidRDefault="00D631BA" w:rsidP="00BC4141">
            <w:r>
              <w:t>PaaS</w:t>
            </w:r>
          </w:p>
        </w:tc>
        <w:tc>
          <w:tcPr>
            <w:tcW w:w="7483" w:type="dxa"/>
          </w:tcPr>
          <w:p w14:paraId="7A8AD1FD" w14:textId="77777777" w:rsidR="00D631BA" w:rsidRDefault="00D631BA" w:rsidP="005F6D63">
            <w:r>
              <w:t>Platform as a Service (NIST). The capability provided to the consumer is to deploy onto the cloud infrastructure consumer-created or acquired applications created using programming languages, libraries, services, and tools supported by the provider. The consumer does not manage or control the underlying cloud infrastructure including network, servers, operating systems, or storage, but has control over the deployed applications and possibly configuration settings for the application-hosting environment.</w:t>
            </w:r>
          </w:p>
        </w:tc>
      </w:tr>
      <w:tr w:rsidR="00B2563D" w14:paraId="6432C825" w14:textId="77777777" w:rsidTr="000026BA">
        <w:tc>
          <w:tcPr>
            <w:tcW w:w="1527" w:type="dxa"/>
            <w:vAlign w:val="center"/>
          </w:tcPr>
          <w:p w14:paraId="06750B6A" w14:textId="77777777" w:rsidR="00B2563D" w:rsidRDefault="00B2563D" w:rsidP="000026BA">
            <w:r w:rsidRPr="00B02450">
              <w:t>PII</w:t>
            </w:r>
          </w:p>
        </w:tc>
        <w:tc>
          <w:tcPr>
            <w:tcW w:w="7483" w:type="dxa"/>
          </w:tcPr>
          <w:p w14:paraId="23D90F1F" w14:textId="77777777" w:rsidR="00B2563D" w:rsidRDefault="00B2563D" w:rsidP="000026BA">
            <w:r w:rsidRPr="00B02450">
              <w:t>Personally Identifiable Information</w:t>
            </w:r>
            <w:r>
              <w:t>.</w:t>
            </w:r>
          </w:p>
          <w:p w14:paraId="53439EE0" w14:textId="1894E9C6" w:rsidR="005F386A" w:rsidRDefault="005F386A" w:rsidP="000026BA"/>
        </w:tc>
      </w:tr>
      <w:tr w:rsidR="00B2563D" w:rsidRPr="007C1073" w14:paraId="724CABF4" w14:textId="77777777" w:rsidTr="000026BA">
        <w:tc>
          <w:tcPr>
            <w:tcW w:w="1527" w:type="dxa"/>
          </w:tcPr>
          <w:p w14:paraId="67F430F0" w14:textId="77777777" w:rsidR="00B2563D" w:rsidRDefault="00B2563D" w:rsidP="000026BA">
            <w:pPr>
              <w:rPr>
                <w:rFonts w:ascii="Calibri" w:hAnsi="Calibri" w:cs="Calibri"/>
                <w:color w:val="000000"/>
              </w:rPr>
            </w:pPr>
            <w:r>
              <w:rPr>
                <w:rFonts w:ascii="Calibri" w:hAnsi="Calibri" w:cs="Calibri"/>
                <w:color w:val="000000"/>
              </w:rPr>
              <w:t>Private Cloud</w:t>
            </w:r>
          </w:p>
        </w:tc>
        <w:tc>
          <w:tcPr>
            <w:tcW w:w="7483" w:type="dxa"/>
          </w:tcPr>
          <w:p w14:paraId="03943722" w14:textId="41B01465" w:rsidR="00B2563D" w:rsidRDefault="00B2563D" w:rsidP="000026BA">
            <w:pPr>
              <w:rPr>
                <w:rFonts w:ascii="Calibri" w:hAnsi="Calibri" w:cs="Calibri"/>
                <w:color w:val="000000"/>
              </w:rPr>
            </w:pPr>
            <w:r>
              <w:rPr>
                <w:rFonts w:ascii="Calibri" w:hAnsi="Calibri" w:cs="Calibri"/>
                <w:color w:val="000000"/>
              </w:rPr>
              <w:t xml:space="preserve">(ISO) Cloud deployment model where cloud services are used exclusively by a single cloud service customer and resources are controlled by that cloud service </w:t>
            </w:r>
            <w:r w:rsidR="005F386A">
              <w:rPr>
                <w:rFonts w:ascii="Calibri" w:hAnsi="Calibri" w:cs="Calibri"/>
                <w:color w:val="000000"/>
              </w:rPr>
              <w:t>customer.</w:t>
            </w:r>
          </w:p>
          <w:p w14:paraId="1E0649DF" w14:textId="66B9DE5B" w:rsidR="005F386A" w:rsidRDefault="005F386A" w:rsidP="000026BA">
            <w:pPr>
              <w:rPr>
                <w:rFonts w:ascii="Calibri" w:hAnsi="Calibri" w:cs="Calibri"/>
                <w:color w:val="000000"/>
              </w:rPr>
            </w:pPr>
          </w:p>
        </w:tc>
      </w:tr>
      <w:tr w:rsidR="00B2563D" w:rsidRPr="007C1073" w14:paraId="021F5BD5" w14:textId="77777777" w:rsidTr="000026BA">
        <w:tc>
          <w:tcPr>
            <w:tcW w:w="1527" w:type="dxa"/>
          </w:tcPr>
          <w:p w14:paraId="026D9579" w14:textId="77777777" w:rsidR="00B2563D" w:rsidRDefault="00B2563D" w:rsidP="000026BA">
            <w:pPr>
              <w:rPr>
                <w:rFonts w:ascii="Calibri" w:hAnsi="Calibri" w:cs="Calibri"/>
                <w:color w:val="000000"/>
              </w:rPr>
            </w:pPr>
            <w:r>
              <w:rPr>
                <w:rFonts w:ascii="Calibri" w:hAnsi="Calibri" w:cs="Calibri"/>
                <w:color w:val="000000"/>
              </w:rPr>
              <w:t>Public Cloud</w:t>
            </w:r>
          </w:p>
        </w:tc>
        <w:tc>
          <w:tcPr>
            <w:tcW w:w="7483" w:type="dxa"/>
          </w:tcPr>
          <w:p w14:paraId="009E6614" w14:textId="1195BE3A" w:rsidR="00B2563D" w:rsidRDefault="00B2563D" w:rsidP="000026BA">
            <w:pPr>
              <w:rPr>
                <w:rFonts w:ascii="Calibri" w:hAnsi="Calibri" w:cs="Calibri"/>
                <w:color w:val="000000"/>
              </w:rPr>
            </w:pPr>
            <w:r>
              <w:rPr>
                <w:rFonts w:ascii="Calibri" w:hAnsi="Calibri" w:cs="Calibri"/>
                <w:color w:val="000000"/>
              </w:rPr>
              <w:t xml:space="preserve">(ISO) Cloud deployment model where cloud services are potentially available to any cloud service customer and resources are controlled by the cloud service </w:t>
            </w:r>
            <w:r w:rsidR="005F386A">
              <w:rPr>
                <w:rFonts w:ascii="Calibri" w:hAnsi="Calibri" w:cs="Calibri"/>
                <w:color w:val="000000"/>
              </w:rPr>
              <w:t>provider.</w:t>
            </w:r>
          </w:p>
          <w:p w14:paraId="410BF0BD" w14:textId="2DD28754" w:rsidR="005F386A" w:rsidRDefault="005F386A" w:rsidP="000026BA">
            <w:pPr>
              <w:rPr>
                <w:rFonts w:ascii="Calibri" w:hAnsi="Calibri" w:cs="Calibri"/>
                <w:color w:val="000000"/>
              </w:rPr>
            </w:pPr>
          </w:p>
        </w:tc>
      </w:tr>
      <w:tr w:rsidR="00B2563D" w14:paraId="60A86AE2" w14:textId="77777777" w:rsidTr="00B2563D">
        <w:tc>
          <w:tcPr>
            <w:tcW w:w="1527" w:type="dxa"/>
            <w:vAlign w:val="center"/>
          </w:tcPr>
          <w:p w14:paraId="250E9FCA" w14:textId="77777777" w:rsidR="00D631BA" w:rsidRDefault="00D631BA" w:rsidP="00BC4141">
            <w:r>
              <w:t>SaaS</w:t>
            </w:r>
          </w:p>
        </w:tc>
        <w:tc>
          <w:tcPr>
            <w:tcW w:w="7483" w:type="dxa"/>
          </w:tcPr>
          <w:p w14:paraId="3D14C3CD" w14:textId="77777777" w:rsidR="00D631BA" w:rsidRDefault="00D631BA" w:rsidP="005F6D63">
            <w:r w:rsidRPr="005F6D63">
              <w:t>Software as a Service (</w:t>
            </w:r>
            <w:r>
              <w:t>NIST</w:t>
            </w:r>
            <w:r w:rsidRPr="005F6D63">
              <w:t>). The capability provided to the consumer is to use the provider’s applications ru</w:t>
            </w:r>
            <w:r>
              <w:t>nning on a cloud infrastructure</w:t>
            </w:r>
            <w:r w:rsidRPr="005F6D63">
              <w:t xml:space="preserve">. The applications are accessible from various client devices through either a thin client interface, such as a web browser (e.g., web-based email), or a program interface. The consumer does not manage or control the underlying cloud infrastructure including network, servers, operating systems, storage, or even individual application capabilities, </w:t>
            </w:r>
            <w:proofErr w:type="gramStart"/>
            <w:r w:rsidRPr="005F6D63">
              <w:t>with the possible exception of</w:t>
            </w:r>
            <w:proofErr w:type="gramEnd"/>
            <w:r w:rsidRPr="005F6D63">
              <w:t xml:space="preserve"> limited user-specific application configuration settings.</w:t>
            </w:r>
          </w:p>
        </w:tc>
      </w:tr>
      <w:tr w:rsidR="00B2563D" w14:paraId="1DF05E6C" w14:textId="77777777" w:rsidTr="00B2563D">
        <w:tc>
          <w:tcPr>
            <w:tcW w:w="1527" w:type="dxa"/>
            <w:vAlign w:val="center"/>
          </w:tcPr>
          <w:p w14:paraId="38195105" w14:textId="77777777" w:rsidR="00D631BA" w:rsidRDefault="00D631BA" w:rsidP="00BC4141">
            <w:r>
              <w:rPr>
                <w:rFonts w:cstheme="minorHAnsi"/>
              </w:rPr>
              <w:t>SDLC</w:t>
            </w:r>
          </w:p>
        </w:tc>
        <w:tc>
          <w:tcPr>
            <w:tcW w:w="7483" w:type="dxa"/>
          </w:tcPr>
          <w:p w14:paraId="3E45FC64" w14:textId="77777777" w:rsidR="00D631BA" w:rsidRPr="005F6D63" w:rsidRDefault="00D631BA" w:rsidP="00115964">
            <w:r>
              <w:t xml:space="preserve">Software Development Life Cycle - software life cycle (NIST, FDA).  </w:t>
            </w:r>
            <w:proofErr w:type="gramStart"/>
            <w:r>
              <w:t>Period of time</w:t>
            </w:r>
            <w:proofErr w:type="gramEnd"/>
            <w:r>
              <w:t xml:space="preserve"> beginning when a software product is conceived and ending when the product is no longer available for use. The software life cycle is typically broken into phases denoting activities such as requirements, design, programming, testing, installation, and operation and maintenance.</w:t>
            </w:r>
          </w:p>
        </w:tc>
      </w:tr>
      <w:tr w:rsidR="00B2563D" w14:paraId="011A144E" w14:textId="77777777" w:rsidTr="00B2563D">
        <w:tc>
          <w:tcPr>
            <w:tcW w:w="1527" w:type="dxa"/>
            <w:vAlign w:val="center"/>
          </w:tcPr>
          <w:p w14:paraId="296323C3" w14:textId="27C4AA3E" w:rsidR="00D631BA" w:rsidRDefault="004B4B8E" w:rsidP="00BC4141">
            <w:r>
              <w:t>S</w:t>
            </w:r>
            <w:r w:rsidR="00D631BA" w:rsidRPr="00915591">
              <w:t>ervice level agreement (SLA)</w:t>
            </w:r>
          </w:p>
        </w:tc>
        <w:tc>
          <w:tcPr>
            <w:tcW w:w="7483" w:type="dxa"/>
          </w:tcPr>
          <w:p w14:paraId="5B5FB11A" w14:textId="77777777" w:rsidR="00D631BA" w:rsidRPr="005F6D63" w:rsidRDefault="00D631BA" w:rsidP="00915591">
            <w:r>
              <w:t>Service Level Agreement (ISO): Documented agreement between the service provider and customer that identifies services and service targets.</w:t>
            </w:r>
          </w:p>
        </w:tc>
      </w:tr>
      <w:tr w:rsidR="00B2563D" w:rsidRPr="007C1073" w14:paraId="06F48639" w14:textId="77777777" w:rsidTr="000026BA">
        <w:tc>
          <w:tcPr>
            <w:tcW w:w="1527" w:type="dxa"/>
          </w:tcPr>
          <w:p w14:paraId="07222DC0" w14:textId="77777777" w:rsidR="00B2563D" w:rsidRPr="00D703AE" w:rsidRDefault="00B2563D" w:rsidP="000026BA">
            <w:r>
              <w:t>T</w:t>
            </w:r>
            <w:r w:rsidRPr="00D703AE">
              <w:t>enant</w:t>
            </w:r>
          </w:p>
        </w:tc>
        <w:tc>
          <w:tcPr>
            <w:tcW w:w="7483" w:type="dxa"/>
          </w:tcPr>
          <w:p w14:paraId="4541C377" w14:textId="77777777" w:rsidR="00B2563D" w:rsidRDefault="00B2563D" w:rsidP="000026BA">
            <w:r>
              <w:t xml:space="preserve">(ISO) </w:t>
            </w:r>
            <w:r w:rsidRPr="00D703AE">
              <w:t xml:space="preserve">One or more cloud service users sharing access to a set of physical and virtual resources. </w:t>
            </w:r>
          </w:p>
        </w:tc>
      </w:tr>
    </w:tbl>
    <w:p w14:paraId="1D3F597F" w14:textId="77777777" w:rsidR="00621128" w:rsidRDefault="0097526A" w:rsidP="006920E6">
      <w:pPr>
        <w:pStyle w:val="Heading1"/>
      </w:pPr>
      <w:bookmarkStart w:id="56" w:name="_Toc272518914"/>
      <w:bookmarkStart w:id="57" w:name="_Toc138311625"/>
      <w:r>
        <w:t>References</w:t>
      </w:r>
      <w:bookmarkEnd w:id="56"/>
      <w:bookmarkEnd w:id="57"/>
    </w:p>
    <w:p w14:paraId="4E1B85FE" w14:textId="77777777" w:rsidR="00F428A1" w:rsidRDefault="00AC42CA" w:rsidP="00161ABC">
      <w:pPr>
        <w:pStyle w:val="ListParagraph"/>
        <w:numPr>
          <w:ilvl w:val="0"/>
          <w:numId w:val="30"/>
        </w:numPr>
      </w:pPr>
      <w:bookmarkStart w:id="58" w:name="_Ref526683705"/>
      <w:bookmarkStart w:id="59" w:name="_Ref526681980"/>
      <w:r w:rsidRPr="00A602E7">
        <w:rPr>
          <w:lang w:val="it-CH"/>
        </w:rPr>
        <w:t xml:space="preserve">Furht, Borko and Armando Escalante. </w:t>
      </w:r>
      <w:r w:rsidRPr="002D6CE2">
        <w:rPr>
          <w:i/>
          <w:iCs/>
        </w:rPr>
        <w:t>Handbook of Cloud Computing</w:t>
      </w:r>
      <w:r w:rsidRPr="002D6CE2">
        <w:t>. New York: Springer, 2010. Print.</w:t>
      </w:r>
      <w:bookmarkEnd w:id="58"/>
    </w:p>
    <w:p w14:paraId="10F030DA" w14:textId="77777777" w:rsidR="00A33C7F" w:rsidRDefault="00A33C7F" w:rsidP="00161ABC">
      <w:pPr>
        <w:pStyle w:val="ListParagraph"/>
        <w:numPr>
          <w:ilvl w:val="0"/>
          <w:numId w:val="30"/>
        </w:numPr>
      </w:pPr>
      <w:bookmarkStart w:id="60" w:name="_Ref526682094"/>
      <w:r w:rsidRPr="00835AE1">
        <w:t>ISO 17788 - Information technology — Cloud computing — Overview and vocabulary</w:t>
      </w:r>
      <w:r>
        <w:t xml:space="preserve">, </w:t>
      </w:r>
      <w:r w:rsidRPr="00835AE1">
        <w:t>2014-10-15</w:t>
      </w:r>
      <w:bookmarkEnd w:id="60"/>
    </w:p>
    <w:p w14:paraId="260BB4A0" w14:textId="77777777" w:rsidR="00033180" w:rsidRDefault="00033180" w:rsidP="00161ABC">
      <w:pPr>
        <w:pStyle w:val="ListParagraph"/>
        <w:numPr>
          <w:ilvl w:val="0"/>
          <w:numId w:val="30"/>
        </w:numPr>
      </w:pPr>
      <w:bookmarkStart w:id="61" w:name="_Ref526683985"/>
      <w:r>
        <w:t xml:space="preserve">The NIST Definition of Cloud Computing, </w:t>
      </w:r>
      <w:r w:rsidRPr="00033180">
        <w:t>Special Publication 800-145</w:t>
      </w:r>
      <w:r>
        <w:t xml:space="preserve">, </w:t>
      </w:r>
      <w:r w:rsidRPr="00033180">
        <w:t>September 2011</w:t>
      </w:r>
      <w:bookmarkEnd w:id="59"/>
      <w:bookmarkEnd w:id="61"/>
    </w:p>
    <w:p w14:paraId="2A1D1F64" w14:textId="77777777" w:rsidR="008F3A62" w:rsidRDefault="008F3A62" w:rsidP="00161ABC">
      <w:pPr>
        <w:pStyle w:val="ListParagraph"/>
        <w:numPr>
          <w:ilvl w:val="0"/>
          <w:numId w:val="30"/>
        </w:numPr>
      </w:pPr>
      <w:bookmarkStart w:id="62" w:name="_Ref526683104"/>
      <w:bookmarkStart w:id="63" w:name="_Ref526682436"/>
      <w:r>
        <w:t xml:space="preserve">US </w:t>
      </w:r>
      <w:r w:rsidRPr="00AB269A">
        <w:t>Food and Drug Administration</w:t>
      </w:r>
      <w:r>
        <w:t xml:space="preserve"> (FDA). </w:t>
      </w:r>
      <w:r w:rsidRPr="00546FF7">
        <w:t>Glossary of Computer System Software Development Terminology (8/95)</w:t>
      </w:r>
      <w:bookmarkEnd w:id="62"/>
    </w:p>
    <w:p w14:paraId="43282CAC" w14:textId="4852C7D9" w:rsidR="00033180" w:rsidRDefault="00AB269A" w:rsidP="00033180">
      <w:pPr>
        <w:pStyle w:val="ListParagraph"/>
        <w:numPr>
          <w:ilvl w:val="0"/>
          <w:numId w:val="30"/>
        </w:numPr>
      </w:pPr>
      <w:bookmarkStart w:id="64" w:name="_Ref526684145"/>
      <w:r>
        <w:t xml:space="preserve">US </w:t>
      </w:r>
      <w:r w:rsidRPr="00AB269A">
        <w:t>Food and Drug Administration</w:t>
      </w:r>
      <w:r>
        <w:t xml:space="preserve"> (FDA)</w:t>
      </w:r>
      <w:r w:rsidRPr="00AB269A">
        <w:t xml:space="preserve">. Guidance for Industry: Computerized Systems </w:t>
      </w:r>
      <w:r>
        <w:t xml:space="preserve">Used in Clinical Investigations, </w:t>
      </w:r>
      <w:r w:rsidRPr="00AB269A">
        <w:t>May 2007</w:t>
      </w:r>
      <w:bookmarkEnd w:id="63"/>
      <w:bookmarkEnd w:id="64"/>
    </w:p>
    <w:p w14:paraId="774688EA" w14:textId="77777777" w:rsidR="00033180" w:rsidRPr="00033180" w:rsidRDefault="00033180" w:rsidP="00033180"/>
    <w:sectPr w:rsidR="00033180" w:rsidRPr="00033180" w:rsidSect="00A04B3C">
      <w:headerReference w:type="default" r:id="rId14"/>
      <w:footerReference w:type="default" r:id="rId15"/>
      <w:pgSz w:w="11900" w:h="168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864B4" w14:textId="77777777" w:rsidR="008C6E55" w:rsidRDefault="008C6E55" w:rsidP="00F04DD6">
      <w:pPr>
        <w:spacing w:after="0" w:line="240" w:lineRule="auto"/>
      </w:pPr>
      <w:r>
        <w:separator/>
      </w:r>
    </w:p>
  </w:endnote>
  <w:endnote w:type="continuationSeparator" w:id="0">
    <w:p w14:paraId="248ABC50" w14:textId="77777777" w:rsidR="008C6E55" w:rsidRDefault="008C6E55" w:rsidP="00F04DD6">
      <w:pPr>
        <w:spacing w:after="0" w:line="240" w:lineRule="auto"/>
      </w:pPr>
      <w:r>
        <w:continuationSeparator/>
      </w:r>
    </w:p>
  </w:endnote>
  <w:endnote w:type="continuationNotice" w:id="1">
    <w:p w14:paraId="003ABD11" w14:textId="77777777" w:rsidR="008C6E55" w:rsidRDefault="008C6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038ED" w14:textId="1447F45A" w:rsidR="00FA39D6" w:rsidRPr="00BE2133" w:rsidRDefault="00FA39D6" w:rsidP="00BE2133">
    <w:pPr>
      <w:pStyle w:val="Footer"/>
      <w:jc w:val="right"/>
      <w:rPr>
        <w:rFonts w:asciiTheme="majorHAnsi" w:hAnsiTheme="majorHAnsi"/>
      </w:rPr>
    </w:pPr>
    <w:r w:rsidRPr="00BE2133">
      <w:rPr>
        <w:rFonts w:asciiTheme="majorHAnsi" w:hAnsiTheme="majorHAnsi"/>
        <w:lang w:val="de-DE" w:eastAsia="de-CH"/>
      </w:rPr>
      <w:t xml:space="preserve">Page </w:t>
    </w:r>
    <w:r w:rsidRPr="00BE2133">
      <w:rPr>
        <w:rFonts w:asciiTheme="majorHAnsi" w:hAnsiTheme="majorHAnsi"/>
        <w:lang w:val="de-DE" w:eastAsia="de-CH"/>
      </w:rPr>
      <w:fldChar w:fldCharType="begin"/>
    </w:r>
    <w:r w:rsidRPr="00BE2133">
      <w:rPr>
        <w:rFonts w:asciiTheme="majorHAnsi" w:hAnsiTheme="majorHAnsi"/>
        <w:lang w:val="de-DE" w:eastAsia="de-CH"/>
      </w:rPr>
      <w:instrText xml:space="preserve"> PAGE  \* Arabic  \* MERGEFORMAT </w:instrText>
    </w:r>
    <w:r w:rsidRPr="00BE2133">
      <w:rPr>
        <w:rFonts w:asciiTheme="majorHAnsi" w:hAnsiTheme="majorHAnsi"/>
        <w:lang w:val="de-DE" w:eastAsia="de-CH"/>
      </w:rPr>
      <w:fldChar w:fldCharType="separate"/>
    </w:r>
    <w:r>
      <w:rPr>
        <w:rFonts w:asciiTheme="majorHAnsi" w:hAnsiTheme="majorHAnsi"/>
        <w:noProof/>
        <w:lang w:val="de-DE" w:eastAsia="de-CH"/>
      </w:rPr>
      <w:t>2</w:t>
    </w:r>
    <w:r w:rsidRPr="00BE2133">
      <w:rPr>
        <w:rFonts w:asciiTheme="majorHAnsi" w:hAnsiTheme="majorHAnsi"/>
        <w:lang w:val="de-DE" w:eastAsia="de-CH"/>
      </w:rPr>
      <w:fldChar w:fldCharType="end"/>
    </w:r>
    <w:r>
      <w:rPr>
        <w:rFonts w:asciiTheme="majorHAnsi" w:hAnsiTheme="majorHAnsi"/>
        <w:lang w:val="de-DE" w:eastAsia="de-CH"/>
      </w:rPr>
      <w:t xml:space="preserve"> </w:t>
    </w:r>
    <w:proofErr w:type="spellStart"/>
    <w:r>
      <w:rPr>
        <w:rFonts w:asciiTheme="majorHAnsi" w:hAnsiTheme="majorHAnsi"/>
        <w:lang w:val="de-DE" w:eastAsia="de-CH"/>
      </w:rPr>
      <w:t>of</w:t>
    </w:r>
    <w:proofErr w:type="spellEnd"/>
    <w:r w:rsidRPr="00BE2133">
      <w:rPr>
        <w:rFonts w:asciiTheme="majorHAnsi" w:hAnsiTheme="majorHAnsi"/>
        <w:lang w:val="de-DE" w:eastAsia="de-CH"/>
      </w:rPr>
      <w:t xml:space="preserve"> </w:t>
    </w:r>
    <w:r w:rsidRPr="00BE2133">
      <w:rPr>
        <w:rFonts w:asciiTheme="majorHAnsi" w:hAnsiTheme="majorHAnsi"/>
        <w:lang w:val="de-DE" w:eastAsia="de-CH"/>
      </w:rPr>
      <w:fldChar w:fldCharType="begin"/>
    </w:r>
    <w:r w:rsidRPr="00BE2133">
      <w:rPr>
        <w:rFonts w:asciiTheme="majorHAnsi" w:hAnsiTheme="majorHAnsi"/>
        <w:lang w:val="de-DE" w:eastAsia="de-CH"/>
      </w:rPr>
      <w:instrText xml:space="preserve"> SECTIONPAGES  \* Arabic  \* MERGEFORMAT </w:instrText>
    </w:r>
    <w:r w:rsidRPr="00BE2133">
      <w:rPr>
        <w:rFonts w:asciiTheme="majorHAnsi" w:hAnsiTheme="majorHAnsi"/>
        <w:lang w:val="de-DE" w:eastAsia="de-CH"/>
      </w:rPr>
      <w:fldChar w:fldCharType="separate"/>
    </w:r>
    <w:r w:rsidR="00D512BA">
      <w:rPr>
        <w:rFonts w:asciiTheme="majorHAnsi" w:hAnsiTheme="majorHAnsi"/>
        <w:noProof/>
        <w:lang w:val="de-DE" w:eastAsia="de-CH"/>
      </w:rPr>
      <w:t>39</w:t>
    </w:r>
    <w:r w:rsidRPr="00BE2133">
      <w:rPr>
        <w:rFonts w:asciiTheme="majorHAnsi" w:hAnsiTheme="majorHAnsi"/>
        <w:lang w:val="de-DE" w:eastAsia="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48B64" w14:textId="77777777" w:rsidR="008C6E55" w:rsidRDefault="008C6E55" w:rsidP="00F04DD6">
      <w:pPr>
        <w:spacing w:after="0" w:line="240" w:lineRule="auto"/>
      </w:pPr>
      <w:r>
        <w:separator/>
      </w:r>
    </w:p>
  </w:footnote>
  <w:footnote w:type="continuationSeparator" w:id="0">
    <w:p w14:paraId="78B1F89C" w14:textId="77777777" w:rsidR="008C6E55" w:rsidRDefault="008C6E55" w:rsidP="00F04DD6">
      <w:pPr>
        <w:spacing w:after="0" w:line="240" w:lineRule="auto"/>
      </w:pPr>
      <w:r>
        <w:continuationSeparator/>
      </w:r>
    </w:p>
  </w:footnote>
  <w:footnote w:type="continuationNotice" w:id="1">
    <w:p w14:paraId="0DA13951" w14:textId="77777777" w:rsidR="008C6E55" w:rsidRDefault="008C6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78C85" w14:textId="386FE8CD" w:rsidR="00FA39D6" w:rsidRDefault="00FA39D6">
    <w:pPr>
      <w:pStyle w:val="Header"/>
    </w:pPr>
  </w:p>
  <w:tbl>
    <w:tblPr>
      <w:tblW w:w="94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5530"/>
      <w:gridCol w:w="2124"/>
    </w:tblGrid>
    <w:tr w:rsidR="00FA39D6" w:rsidRPr="00EE6879" w14:paraId="1A5E7100" w14:textId="77777777" w:rsidTr="001956CE">
      <w:trPr>
        <w:trHeight w:hRule="exact" w:val="1093"/>
      </w:trPr>
      <w:tc>
        <w:tcPr>
          <w:tcW w:w="1810" w:type="dxa"/>
          <w:vAlign w:val="center"/>
        </w:tcPr>
        <w:p w14:paraId="05A6B086" w14:textId="33C59B80" w:rsidR="00FA39D6" w:rsidRPr="00EE6879" w:rsidRDefault="003F1118" w:rsidP="001956CE">
          <w:pPr>
            <w:pStyle w:val="Header"/>
            <w:rPr>
              <w:lang w:val="en-GB"/>
            </w:rPr>
          </w:pPr>
          <w:r>
            <w:rPr>
              <w:noProof/>
              <w:lang w:val="en-GB"/>
            </w:rPr>
            <w:drawing>
              <wp:inline distT="0" distB="0" distL="0" distR="0" wp14:anchorId="3EEB5B3C" wp14:editId="094D4630">
                <wp:extent cx="803910" cy="694055"/>
                <wp:effectExtent l="0" t="0" r="0" b="0"/>
                <wp:docPr id="965606875" name="Picture 965606875" descr="A picture containing graphics, font, 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06875" name="Picture 1" descr="A picture containing graphics, font, logo,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3910" cy="694055"/>
                        </a:xfrm>
                        <a:prstGeom prst="rect">
                          <a:avLst/>
                        </a:prstGeom>
                      </pic:spPr>
                    </pic:pic>
                  </a:graphicData>
                </a:graphic>
              </wp:inline>
            </w:drawing>
          </w:r>
        </w:p>
      </w:tc>
      <w:tc>
        <w:tcPr>
          <w:tcW w:w="5530" w:type="dxa"/>
        </w:tcPr>
        <w:p w14:paraId="66CEAEDD" w14:textId="77777777" w:rsidR="00FA39D6" w:rsidRPr="00EE6879" w:rsidRDefault="00FA39D6" w:rsidP="00EE6879">
          <w:pPr>
            <w:pStyle w:val="Header"/>
            <w:rPr>
              <w:lang w:val="en-GB"/>
            </w:rPr>
          </w:pPr>
          <w:r w:rsidRPr="00EE6879">
            <w:rPr>
              <w:lang w:val="en-GB"/>
            </w:rPr>
            <w:t xml:space="preserve">Project: </w:t>
          </w:r>
          <w:r w:rsidRPr="00EE6879">
            <w:rPr>
              <w:i/>
              <w:lang w:val="en-GB"/>
            </w:rPr>
            <w:t>Cloud Adoption in the Life Sciences</w:t>
          </w:r>
          <w:r w:rsidRPr="00EE6879">
            <w:rPr>
              <w:lang w:val="en-GB"/>
            </w:rPr>
            <w:t xml:space="preserve"> </w:t>
          </w:r>
        </w:p>
        <w:p w14:paraId="6FD561D6" w14:textId="492BE47E" w:rsidR="00FA39D6" w:rsidRPr="00EE6879" w:rsidRDefault="00FA39D6" w:rsidP="00EE6879">
          <w:pPr>
            <w:pStyle w:val="Header"/>
            <w:rPr>
              <w:lang w:val="en-GB"/>
            </w:rPr>
          </w:pPr>
          <w:r w:rsidRPr="00EE6879">
            <w:rPr>
              <w:lang w:val="en-GB"/>
            </w:rPr>
            <w:t xml:space="preserve">Title: </w:t>
          </w:r>
          <w:r w:rsidRPr="00EE6879">
            <w:rPr>
              <w:i/>
              <w:lang w:val="en-GB"/>
            </w:rPr>
            <w:t xml:space="preserve">Cloud Framework, </w:t>
          </w:r>
          <w:r>
            <w:rPr>
              <w:i/>
              <w:lang w:val="en-GB"/>
            </w:rPr>
            <w:t>Pre-Amble</w:t>
          </w:r>
        </w:p>
        <w:p w14:paraId="68173B3C" w14:textId="757C3ABA" w:rsidR="00FA39D6" w:rsidRPr="00EE6879" w:rsidRDefault="00FA39D6" w:rsidP="00EE6879">
          <w:pPr>
            <w:pStyle w:val="Header"/>
            <w:rPr>
              <w:lang w:val="en-GB"/>
            </w:rPr>
          </w:pPr>
          <w:r w:rsidRPr="00EE6879">
            <w:rPr>
              <w:lang w:val="en-GB"/>
            </w:rPr>
            <w:t xml:space="preserve">Version ID: </w:t>
          </w:r>
          <w:r w:rsidRPr="00EE6879">
            <w:rPr>
              <w:i/>
              <w:lang w:val="en-GB"/>
            </w:rPr>
            <w:t>WP-2</w:t>
          </w:r>
          <w:r>
            <w:rPr>
              <w:i/>
              <w:lang w:val="en-GB"/>
            </w:rPr>
            <w:t>3</w:t>
          </w:r>
        </w:p>
      </w:tc>
      <w:tc>
        <w:tcPr>
          <w:tcW w:w="2124" w:type="dxa"/>
          <w:vAlign w:val="center"/>
        </w:tcPr>
        <w:p w14:paraId="5E486D99" w14:textId="77777777" w:rsidR="00FA39D6" w:rsidRPr="00EE6879" w:rsidRDefault="00FA39D6" w:rsidP="00EE6879">
          <w:pPr>
            <w:pStyle w:val="Header"/>
            <w:rPr>
              <w:lang w:val="en-GB"/>
            </w:rPr>
          </w:pPr>
          <w:r w:rsidRPr="00EE6879">
            <w:rPr>
              <w:lang w:val="en-GB"/>
            </w:rPr>
            <w:t xml:space="preserve">Working Group: </w:t>
          </w:r>
        </w:p>
        <w:p w14:paraId="1BA169A4" w14:textId="77777777" w:rsidR="00FA39D6" w:rsidRPr="00EE6879" w:rsidRDefault="00FA39D6" w:rsidP="00EE6879">
          <w:pPr>
            <w:pStyle w:val="Header"/>
            <w:rPr>
              <w:i/>
              <w:lang w:val="en-GB"/>
            </w:rPr>
          </w:pPr>
          <w:r w:rsidRPr="00EE6879">
            <w:rPr>
              <w:i/>
              <w:lang w:val="en-GB"/>
            </w:rPr>
            <w:t xml:space="preserve">Emerging Trends and Technologies </w:t>
          </w:r>
        </w:p>
      </w:tc>
    </w:tr>
  </w:tbl>
  <w:p w14:paraId="05FF4558" w14:textId="68DB198B" w:rsidR="00FA39D6" w:rsidRPr="00EE6879" w:rsidRDefault="00FA39D6">
    <w:pPr>
      <w:pStyle w:val="Header"/>
      <w:rPr>
        <w:lang w:val="en-GB"/>
      </w:rPr>
    </w:pPr>
  </w:p>
  <w:p w14:paraId="562A933B" w14:textId="77777777" w:rsidR="00FA39D6" w:rsidRDefault="00FA3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A694EE9E"/>
    <w:lvl w:ilvl="0">
      <w:start w:val="1"/>
      <w:numFmt w:val="bullet"/>
      <w:pStyle w:val="ListBullet2"/>
      <w:lvlText w:val="o"/>
      <w:lvlJc w:val="left"/>
      <w:pPr>
        <w:ind w:left="720" w:hanging="360"/>
      </w:pPr>
      <w:rPr>
        <w:rFonts w:ascii="Courier New" w:hAnsi="Courier New" w:cs="Courier New" w:hint="default"/>
      </w:rPr>
    </w:lvl>
  </w:abstractNum>
  <w:abstractNum w:abstractNumId="1" w15:restartNumberingAfterBreak="0">
    <w:nsid w:val="FFFFFF88"/>
    <w:multiLevelType w:val="singleLevel"/>
    <w:tmpl w:val="0678AAF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B22A72A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A75776"/>
    <w:multiLevelType w:val="hybridMultilevel"/>
    <w:tmpl w:val="16529D4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8E7324"/>
    <w:multiLevelType w:val="hybridMultilevel"/>
    <w:tmpl w:val="7DAC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51C83"/>
    <w:multiLevelType w:val="hybridMultilevel"/>
    <w:tmpl w:val="21BA5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2046C"/>
    <w:multiLevelType w:val="hybridMultilevel"/>
    <w:tmpl w:val="AD9A71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26D01D6"/>
    <w:multiLevelType w:val="hybridMultilevel"/>
    <w:tmpl w:val="4D24A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CC4EAC"/>
    <w:multiLevelType w:val="hybridMultilevel"/>
    <w:tmpl w:val="87A4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07793"/>
    <w:multiLevelType w:val="hybridMultilevel"/>
    <w:tmpl w:val="3AF0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116E7"/>
    <w:multiLevelType w:val="hybridMultilevel"/>
    <w:tmpl w:val="ADBA6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22A78"/>
    <w:multiLevelType w:val="hybridMultilevel"/>
    <w:tmpl w:val="E72E7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0E7CFF"/>
    <w:multiLevelType w:val="hybridMultilevel"/>
    <w:tmpl w:val="4EBC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B198B"/>
    <w:multiLevelType w:val="hybridMultilevel"/>
    <w:tmpl w:val="3120D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1C12C0"/>
    <w:multiLevelType w:val="hybridMultilevel"/>
    <w:tmpl w:val="224E5F5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9722D95"/>
    <w:multiLevelType w:val="hybridMultilevel"/>
    <w:tmpl w:val="EAE03560"/>
    <w:lvl w:ilvl="0" w:tplc="2AD2391C">
      <w:start w:val="1"/>
      <w:numFmt w:val="bullet"/>
      <w:lvlText w:val="•"/>
      <w:lvlJc w:val="left"/>
      <w:pPr>
        <w:tabs>
          <w:tab w:val="num" w:pos="720"/>
        </w:tabs>
        <w:ind w:left="720" w:hanging="360"/>
      </w:pPr>
      <w:rPr>
        <w:rFonts w:ascii="Arial" w:hAnsi="Arial" w:hint="default"/>
      </w:rPr>
    </w:lvl>
    <w:lvl w:ilvl="1" w:tplc="3A3A4794">
      <w:start w:val="1"/>
      <w:numFmt w:val="bullet"/>
      <w:lvlText w:val="•"/>
      <w:lvlJc w:val="left"/>
      <w:pPr>
        <w:tabs>
          <w:tab w:val="num" w:pos="1440"/>
        </w:tabs>
        <w:ind w:left="1440" w:hanging="360"/>
      </w:pPr>
      <w:rPr>
        <w:rFonts w:ascii="Arial" w:hAnsi="Arial" w:hint="default"/>
      </w:rPr>
    </w:lvl>
    <w:lvl w:ilvl="2" w:tplc="80361FBA" w:tentative="1">
      <w:start w:val="1"/>
      <w:numFmt w:val="bullet"/>
      <w:lvlText w:val="•"/>
      <w:lvlJc w:val="left"/>
      <w:pPr>
        <w:tabs>
          <w:tab w:val="num" w:pos="2160"/>
        </w:tabs>
        <w:ind w:left="2160" w:hanging="360"/>
      </w:pPr>
      <w:rPr>
        <w:rFonts w:ascii="Arial" w:hAnsi="Arial" w:hint="default"/>
      </w:rPr>
    </w:lvl>
    <w:lvl w:ilvl="3" w:tplc="6862DC9C" w:tentative="1">
      <w:start w:val="1"/>
      <w:numFmt w:val="bullet"/>
      <w:lvlText w:val="•"/>
      <w:lvlJc w:val="left"/>
      <w:pPr>
        <w:tabs>
          <w:tab w:val="num" w:pos="2880"/>
        </w:tabs>
        <w:ind w:left="2880" w:hanging="360"/>
      </w:pPr>
      <w:rPr>
        <w:rFonts w:ascii="Arial" w:hAnsi="Arial" w:hint="default"/>
      </w:rPr>
    </w:lvl>
    <w:lvl w:ilvl="4" w:tplc="0F3E164E" w:tentative="1">
      <w:start w:val="1"/>
      <w:numFmt w:val="bullet"/>
      <w:lvlText w:val="•"/>
      <w:lvlJc w:val="left"/>
      <w:pPr>
        <w:tabs>
          <w:tab w:val="num" w:pos="3600"/>
        </w:tabs>
        <w:ind w:left="3600" w:hanging="360"/>
      </w:pPr>
      <w:rPr>
        <w:rFonts w:ascii="Arial" w:hAnsi="Arial" w:hint="default"/>
      </w:rPr>
    </w:lvl>
    <w:lvl w:ilvl="5" w:tplc="05FAB0F2" w:tentative="1">
      <w:start w:val="1"/>
      <w:numFmt w:val="bullet"/>
      <w:lvlText w:val="•"/>
      <w:lvlJc w:val="left"/>
      <w:pPr>
        <w:tabs>
          <w:tab w:val="num" w:pos="4320"/>
        </w:tabs>
        <w:ind w:left="4320" w:hanging="360"/>
      </w:pPr>
      <w:rPr>
        <w:rFonts w:ascii="Arial" w:hAnsi="Arial" w:hint="default"/>
      </w:rPr>
    </w:lvl>
    <w:lvl w:ilvl="6" w:tplc="AE740F4A" w:tentative="1">
      <w:start w:val="1"/>
      <w:numFmt w:val="bullet"/>
      <w:lvlText w:val="•"/>
      <w:lvlJc w:val="left"/>
      <w:pPr>
        <w:tabs>
          <w:tab w:val="num" w:pos="5040"/>
        </w:tabs>
        <w:ind w:left="5040" w:hanging="360"/>
      </w:pPr>
      <w:rPr>
        <w:rFonts w:ascii="Arial" w:hAnsi="Arial" w:hint="default"/>
      </w:rPr>
    </w:lvl>
    <w:lvl w:ilvl="7" w:tplc="DE526C58" w:tentative="1">
      <w:start w:val="1"/>
      <w:numFmt w:val="bullet"/>
      <w:lvlText w:val="•"/>
      <w:lvlJc w:val="left"/>
      <w:pPr>
        <w:tabs>
          <w:tab w:val="num" w:pos="5760"/>
        </w:tabs>
        <w:ind w:left="5760" w:hanging="360"/>
      </w:pPr>
      <w:rPr>
        <w:rFonts w:ascii="Arial" w:hAnsi="Arial" w:hint="default"/>
      </w:rPr>
    </w:lvl>
    <w:lvl w:ilvl="8" w:tplc="DAB049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C84C5A"/>
    <w:multiLevelType w:val="hybridMultilevel"/>
    <w:tmpl w:val="ED3A6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100B3B"/>
    <w:multiLevelType w:val="hybridMultilevel"/>
    <w:tmpl w:val="486E171E"/>
    <w:lvl w:ilvl="0" w:tplc="87A086EA">
      <w:numFmt w:val="bullet"/>
      <w:lvlText w:val="-"/>
      <w:lvlJc w:val="left"/>
      <w:pPr>
        <w:ind w:left="795" w:hanging="795"/>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B14EE7"/>
    <w:multiLevelType w:val="hybridMultilevel"/>
    <w:tmpl w:val="83DAA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08324A"/>
    <w:multiLevelType w:val="hybridMultilevel"/>
    <w:tmpl w:val="00F06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7A664C"/>
    <w:multiLevelType w:val="hybridMultilevel"/>
    <w:tmpl w:val="BABC4BB0"/>
    <w:lvl w:ilvl="0" w:tplc="9604815A">
      <w:start w:val="1"/>
      <w:numFmt w:val="upperLetter"/>
      <w:pStyle w:val="Appendix1"/>
      <w:lvlText w:val="Appendix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347ED"/>
    <w:multiLevelType w:val="hybridMultilevel"/>
    <w:tmpl w:val="37B0CD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5520C76"/>
    <w:multiLevelType w:val="hybridMultilevel"/>
    <w:tmpl w:val="74F2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AA51E5"/>
    <w:multiLevelType w:val="hybridMultilevel"/>
    <w:tmpl w:val="F31C0B6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F3D35"/>
    <w:multiLevelType w:val="hybridMultilevel"/>
    <w:tmpl w:val="BF94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768B7"/>
    <w:multiLevelType w:val="hybridMultilevel"/>
    <w:tmpl w:val="2A0E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5E2547"/>
    <w:multiLevelType w:val="multilevel"/>
    <w:tmpl w:val="F8F2FD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9BB3C61"/>
    <w:multiLevelType w:val="hybridMultilevel"/>
    <w:tmpl w:val="0C3481E0"/>
    <w:lvl w:ilvl="0" w:tplc="6B2A99F6">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0261354"/>
    <w:multiLevelType w:val="hybridMultilevel"/>
    <w:tmpl w:val="47B2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846766"/>
    <w:multiLevelType w:val="hybridMultilevel"/>
    <w:tmpl w:val="07E4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25DF4"/>
    <w:multiLevelType w:val="hybridMultilevel"/>
    <w:tmpl w:val="6D2217F6"/>
    <w:lvl w:ilvl="0" w:tplc="906849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E5041E"/>
    <w:multiLevelType w:val="hybridMultilevel"/>
    <w:tmpl w:val="3468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663142"/>
    <w:multiLevelType w:val="hybridMultilevel"/>
    <w:tmpl w:val="73FE68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976F9D"/>
    <w:multiLevelType w:val="hybridMultilevel"/>
    <w:tmpl w:val="654C7D26"/>
    <w:lvl w:ilvl="0" w:tplc="730AAF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A72393"/>
    <w:multiLevelType w:val="hybridMultilevel"/>
    <w:tmpl w:val="EAA0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F6FFF"/>
    <w:multiLevelType w:val="hybridMultilevel"/>
    <w:tmpl w:val="AB789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C3A5D"/>
    <w:multiLevelType w:val="hybridMultilevel"/>
    <w:tmpl w:val="6C98789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1161796">
      <w:start w:val="3"/>
      <w:numFmt w:val="bullet"/>
      <w:lvlText w:val="•"/>
      <w:lvlJc w:val="left"/>
      <w:pPr>
        <w:ind w:left="1440" w:hanging="720"/>
      </w:pPr>
      <w:rPr>
        <w:rFonts w:ascii="Calibri" w:eastAsiaTheme="minorHAnsi" w:hAnsi="Calibri" w:cs="Calibri"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37" w15:restartNumberingAfterBreak="0">
    <w:nsid w:val="6F8228B1"/>
    <w:multiLevelType w:val="hybridMultilevel"/>
    <w:tmpl w:val="B17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AB16CA"/>
    <w:multiLevelType w:val="hybridMultilevel"/>
    <w:tmpl w:val="C54691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6BE335F"/>
    <w:multiLevelType w:val="hybridMultilevel"/>
    <w:tmpl w:val="F8F2F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293252"/>
    <w:multiLevelType w:val="multilevel"/>
    <w:tmpl w:val="F4C02406"/>
    <w:lvl w:ilvl="0">
      <w:start w:val="1"/>
      <w:numFmt w:val="decimal"/>
      <w:pStyle w:val="Heading1"/>
      <w:lvlText w:val="%1"/>
      <w:lvlJc w:val="left"/>
      <w:pPr>
        <w:ind w:left="1692" w:hanging="432"/>
      </w:pPr>
    </w:lvl>
    <w:lvl w:ilvl="1">
      <w:start w:val="1"/>
      <w:numFmt w:val="decimal"/>
      <w:pStyle w:val="Heading2"/>
      <w:lvlText w:val="%1.%2"/>
      <w:lvlJc w:val="left"/>
      <w:pPr>
        <w:ind w:left="120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89D028D"/>
    <w:multiLevelType w:val="hybridMultilevel"/>
    <w:tmpl w:val="2F2AB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0244E9"/>
    <w:multiLevelType w:val="hybridMultilevel"/>
    <w:tmpl w:val="A0DE0A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B401EB7"/>
    <w:multiLevelType w:val="hybridMultilevel"/>
    <w:tmpl w:val="A2204A98"/>
    <w:lvl w:ilvl="0" w:tplc="88D6E7B4">
      <w:start w:val="1"/>
      <w:numFmt w:val="bullet"/>
      <w:pStyle w:val="ListCheckboxItem"/>
      <w:lvlText w:val="□"/>
      <w:lvlJc w:val="left"/>
      <w:pPr>
        <w:ind w:left="360" w:hanging="360"/>
      </w:pPr>
      <w:rPr>
        <w:rFonts w:ascii="Calibri" w:hAnsi="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576710">
    <w:abstractNumId w:val="2"/>
  </w:num>
  <w:num w:numId="2" w16cid:durableId="519245492">
    <w:abstractNumId w:val="0"/>
  </w:num>
  <w:num w:numId="3" w16cid:durableId="856044760">
    <w:abstractNumId w:val="1"/>
  </w:num>
  <w:num w:numId="4" w16cid:durableId="716969635">
    <w:abstractNumId w:val="40"/>
  </w:num>
  <w:num w:numId="5" w16cid:durableId="1862627633">
    <w:abstractNumId w:val="43"/>
  </w:num>
  <w:num w:numId="6" w16cid:durableId="1076249696">
    <w:abstractNumId w:val="20"/>
  </w:num>
  <w:num w:numId="7" w16cid:durableId="865367417">
    <w:abstractNumId w:val="36"/>
  </w:num>
  <w:num w:numId="8" w16cid:durableId="557478229">
    <w:abstractNumId w:val="19"/>
  </w:num>
  <w:num w:numId="9" w16cid:durableId="1117944288">
    <w:abstractNumId w:val="22"/>
  </w:num>
  <w:num w:numId="10" w16cid:durableId="109401335">
    <w:abstractNumId w:val="41"/>
  </w:num>
  <w:num w:numId="11" w16cid:durableId="1423992460">
    <w:abstractNumId w:val="3"/>
  </w:num>
  <w:num w:numId="12" w16cid:durableId="102580213">
    <w:abstractNumId w:val="24"/>
  </w:num>
  <w:num w:numId="13" w16cid:durableId="1781753335">
    <w:abstractNumId w:val="8"/>
  </w:num>
  <w:num w:numId="14" w16cid:durableId="577597710">
    <w:abstractNumId w:val="4"/>
  </w:num>
  <w:num w:numId="15" w16cid:durableId="1717311325">
    <w:abstractNumId w:val="10"/>
  </w:num>
  <w:num w:numId="16" w16cid:durableId="469908515">
    <w:abstractNumId w:val="31"/>
  </w:num>
  <w:num w:numId="17" w16cid:durableId="802847817">
    <w:abstractNumId w:val="12"/>
  </w:num>
  <w:num w:numId="18" w16cid:durableId="1852719604">
    <w:abstractNumId w:val="32"/>
  </w:num>
  <w:num w:numId="19" w16cid:durableId="1267158115">
    <w:abstractNumId w:val="15"/>
  </w:num>
  <w:num w:numId="20" w16cid:durableId="293103557">
    <w:abstractNumId w:val="28"/>
  </w:num>
  <w:num w:numId="21" w16cid:durableId="1060861263">
    <w:abstractNumId w:val="16"/>
  </w:num>
  <w:num w:numId="22" w16cid:durableId="1657490230">
    <w:abstractNumId w:val="29"/>
  </w:num>
  <w:num w:numId="23" w16cid:durableId="1002855254">
    <w:abstractNumId w:val="13"/>
  </w:num>
  <w:num w:numId="24" w16cid:durableId="1192767641">
    <w:abstractNumId w:val="39"/>
  </w:num>
  <w:num w:numId="25" w16cid:durableId="1776439439">
    <w:abstractNumId w:val="26"/>
  </w:num>
  <w:num w:numId="26" w16cid:durableId="716851938">
    <w:abstractNumId w:val="33"/>
  </w:num>
  <w:num w:numId="27" w16cid:durableId="606280682">
    <w:abstractNumId w:val="37"/>
  </w:num>
  <w:num w:numId="28" w16cid:durableId="1499812249">
    <w:abstractNumId w:val="7"/>
  </w:num>
  <w:num w:numId="29" w16cid:durableId="519319762">
    <w:abstractNumId w:val="11"/>
  </w:num>
  <w:num w:numId="30" w16cid:durableId="1327632139">
    <w:abstractNumId w:val="30"/>
  </w:num>
  <w:num w:numId="31" w16cid:durableId="2143880940">
    <w:abstractNumId w:val="23"/>
  </w:num>
  <w:num w:numId="32" w16cid:durableId="337201735">
    <w:abstractNumId w:val="9"/>
  </w:num>
  <w:num w:numId="33" w16cid:durableId="2145730924">
    <w:abstractNumId w:val="34"/>
  </w:num>
  <w:num w:numId="34" w16cid:durableId="880048159">
    <w:abstractNumId w:val="17"/>
  </w:num>
  <w:num w:numId="35" w16cid:durableId="1099987809">
    <w:abstractNumId w:val="40"/>
  </w:num>
  <w:num w:numId="36" w16cid:durableId="1611737773">
    <w:abstractNumId w:val="5"/>
  </w:num>
  <w:num w:numId="37" w16cid:durableId="1265109293">
    <w:abstractNumId w:val="25"/>
  </w:num>
  <w:num w:numId="38" w16cid:durableId="1374043523">
    <w:abstractNumId w:val="42"/>
  </w:num>
  <w:num w:numId="39" w16cid:durableId="818614750">
    <w:abstractNumId w:val="27"/>
  </w:num>
  <w:num w:numId="40" w16cid:durableId="103424114">
    <w:abstractNumId w:val="35"/>
  </w:num>
  <w:num w:numId="41" w16cid:durableId="155267907">
    <w:abstractNumId w:val="21"/>
  </w:num>
  <w:num w:numId="42" w16cid:durableId="1241985940">
    <w:abstractNumId w:val="38"/>
  </w:num>
  <w:num w:numId="43" w16cid:durableId="1552614504">
    <w:abstractNumId w:val="18"/>
  </w:num>
  <w:num w:numId="44" w16cid:durableId="1129013051">
    <w:abstractNumId w:val="14"/>
  </w:num>
  <w:num w:numId="45" w16cid:durableId="41713870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AE"/>
    <w:rsid w:val="000003CA"/>
    <w:rsid w:val="000021F2"/>
    <w:rsid w:val="000026BA"/>
    <w:rsid w:val="0001044D"/>
    <w:rsid w:val="00011B32"/>
    <w:rsid w:val="00014A8C"/>
    <w:rsid w:val="00014DD0"/>
    <w:rsid w:val="00015337"/>
    <w:rsid w:val="000155E0"/>
    <w:rsid w:val="00032D7B"/>
    <w:rsid w:val="00033180"/>
    <w:rsid w:val="0003595C"/>
    <w:rsid w:val="0003621E"/>
    <w:rsid w:val="00037812"/>
    <w:rsid w:val="000403C8"/>
    <w:rsid w:val="00041D9E"/>
    <w:rsid w:val="00042C11"/>
    <w:rsid w:val="00046A13"/>
    <w:rsid w:val="0005056B"/>
    <w:rsid w:val="00052F62"/>
    <w:rsid w:val="0005335D"/>
    <w:rsid w:val="000633A5"/>
    <w:rsid w:val="00067B62"/>
    <w:rsid w:val="000741F6"/>
    <w:rsid w:val="00075E3D"/>
    <w:rsid w:val="000773E1"/>
    <w:rsid w:val="00077758"/>
    <w:rsid w:val="00077A13"/>
    <w:rsid w:val="00080E55"/>
    <w:rsid w:val="00087C31"/>
    <w:rsid w:val="00091795"/>
    <w:rsid w:val="0009295C"/>
    <w:rsid w:val="000948BC"/>
    <w:rsid w:val="00095C89"/>
    <w:rsid w:val="00096006"/>
    <w:rsid w:val="000A2ECC"/>
    <w:rsid w:val="000A36A2"/>
    <w:rsid w:val="000A699C"/>
    <w:rsid w:val="000B2CB9"/>
    <w:rsid w:val="000B585E"/>
    <w:rsid w:val="000C04DB"/>
    <w:rsid w:val="000C2524"/>
    <w:rsid w:val="000C6528"/>
    <w:rsid w:val="000D0249"/>
    <w:rsid w:val="000D25F7"/>
    <w:rsid w:val="000D3940"/>
    <w:rsid w:val="000D6A98"/>
    <w:rsid w:val="000E063E"/>
    <w:rsid w:val="000E4822"/>
    <w:rsid w:val="000F1FFD"/>
    <w:rsid w:val="000F349C"/>
    <w:rsid w:val="000F44D8"/>
    <w:rsid w:val="000F539B"/>
    <w:rsid w:val="000F5E54"/>
    <w:rsid w:val="001011B1"/>
    <w:rsid w:val="0010192F"/>
    <w:rsid w:val="001025A3"/>
    <w:rsid w:val="001028A0"/>
    <w:rsid w:val="00102B5C"/>
    <w:rsid w:val="00103DEE"/>
    <w:rsid w:val="00110F4B"/>
    <w:rsid w:val="00115964"/>
    <w:rsid w:val="001235E9"/>
    <w:rsid w:val="00123AD8"/>
    <w:rsid w:val="001277C8"/>
    <w:rsid w:val="00133A26"/>
    <w:rsid w:val="00133C47"/>
    <w:rsid w:val="001362D5"/>
    <w:rsid w:val="0013690C"/>
    <w:rsid w:val="0014128B"/>
    <w:rsid w:val="00143468"/>
    <w:rsid w:val="0015029E"/>
    <w:rsid w:val="00150B35"/>
    <w:rsid w:val="00154D8C"/>
    <w:rsid w:val="00154DB8"/>
    <w:rsid w:val="00161ABC"/>
    <w:rsid w:val="00162008"/>
    <w:rsid w:val="00162439"/>
    <w:rsid w:val="001634BD"/>
    <w:rsid w:val="00164870"/>
    <w:rsid w:val="00166663"/>
    <w:rsid w:val="00166DC5"/>
    <w:rsid w:val="00171ADA"/>
    <w:rsid w:val="00174FEA"/>
    <w:rsid w:val="00184A8D"/>
    <w:rsid w:val="001874ED"/>
    <w:rsid w:val="00190C82"/>
    <w:rsid w:val="00191275"/>
    <w:rsid w:val="0019303E"/>
    <w:rsid w:val="00193381"/>
    <w:rsid w:val="001956CE"/>
    <w:rsid w:val="00195865"/>
    <w:rsid w:val="0019787C"/>
    <w:rsid w:val="001A0547"/>
    <w:rsid w:val="001A59E9"/>
    <w:rsid w:val="001A5FA4"/>
    <w:rsid w:val="001B1556"/>
    <w:rsid w:val="001B185B"/>
    <w:rsid w:val="001B237F"/>
    <w:rsid w:val="001B5BDD"/>
    <w:rsid w:val="001D2718"/>
    <w:rsid w:val="001D36A8"/>
    <w:rsid w:val="001D3ED4"/>
    <w:rsid w:val="001D41DB"/>
    <w:rsid w:val="001E4B94"/>
    <w:rsid w:val="001E62E8"/>
    <w:rsid w:val="001E6B2F"/>
    <w:rsid w:val="001F1B0B"/>
    <w:rsid w:val="001F77B1"/>
    <w:rsid w:val="002026D2"/>
    <w:rsid w:val="00204C4C"/>
    <w:rsid w:val="00211BAA"/>
    <w:rsid w:val="00214748"/>
    <w:rsid w:val="002164A4"/>
    <w:rsid w:val="0022101B"/>
    <w:rsid w:val="00223219"/>
    <w:rsid w:val="00225C1E"/>
    <w:rsid w:val="00227E63"/>
    <w:rsid w:val="002301C2"/>
    <w:rsid w:val="00230495"/>
    <w:rsid w:val="00230C65"/>
    <w:rsid w:val="00233323"/>
    <w:rsid w:val="0023357E"/>
    <w:rsid w:val="002354C1"/>
    <w:rsid w:val="0023717C"/>
    <w:rsid w:val="00241619"/>
    <w:rsid w:val="0024365B"/>
    <w:rsid w:val="00252585"/>
    <w:rsid w:val="00253EBA"/>
    <w:rsid w:val="002543FE"/>
    <w:rsid w:val="00257BCC"/>
    <w:rsid w:val="00260BFC"/>
    <w:rsid w:val="00260C92"/>
    <w:rsid w:val="002674B0"/>
    <w:rsid w:val="00270F8D"/>
    <w:rsid w:val="00273D03"/>
    <w:rsid w:val="00273E8B"/>
    <w:rsid w:val="002766F5"/>
    <w:rsid w:val="00277184"/>
    <w:rsid w:val="00287357"/>
    <w:rsid w:val="002879D6"/>
    <w:rsid w:val="00293C7F"/>
    <w:rsid w:val="002950FA"/>
    <w:rsid w:val="00295583"/>
    <w:rsid w:val="002A1DAE"/>
    <w:rsid w:val="002A3F2E"/>
    <w:rsid w:val="002B267E"/>
    <w:rsid w:val="002C383F"/>
    <w:rsid w:val="002C4CF0"/>
    <w:rsid w:val="002D3A2D"/>
    <w:rsid w:val="002D3EC0"/>
    <w:rsid w:val="002D604B"/>
    <w:rsid w:val="002D6CE2"/>
    <w:rsid w:val="002F3980"/>
    <w:rsid w:val="002F4A88"/>
    <w:rsid w:val="002F665D"/>
    <w:rsid w:val="002F7F5A"/>
    <w:rsid w:val="00302F4E"/>
    <w:rsid w:val="00307DCB"/>
    <w:rsid w:val="003122AC"/>
    <w:rsid w:val="003151FE"/>
    <w:rsid w:val="00315785"/>
    <w:rsid w:val="00316035"/>
    <w:rsid w:val="003167B1"/>
    <w:rsid w:val="00316821"/>
    <w:rsid w:val="0031723C"/>
    <w:rsid w:val="00317522"/>
    <w:rsid w:val="003205FD"/>
    <w:rsid w:val="00326D23"/>
    <w:rsid w:val="00326D7E"/>
    <w:rsid w:val="0033040B"/>
    <w:rsid w:val="00331E13"/>
    <w:rsid w:val="00340160"/>
    <w:rsid w:val="00343A5E"/>
    <w:rsid w:val="003460C8"/>
    <w:rsid w:val="003468C5"/>
    <w:rsid w:val="003472B1"/>
    <w:rsid w:val="00352E02"/>
    <w:rsid w:val="003548B8"/>
    <w:rsid w:val="003549C2"/>
    <w:rsid w:val="00354D5F"/>
    <w:rsid w:val="003619DC"/>
    <w:rsid w:val="003621E9"/>
    <w:rsid w:val="00365278"/>
    <w:rsid w:val="00371469"/>
    <w:rsid w:val="003734CE"/>
    <w:rsid w:val="00376D75"/>
    <w:rsid w:val="00382F11"/>
    <w:rsid w:val="0038397C"/>
    <w:rsid w:val="00387768"/>
    <w:rsid w:val="00390DDF"/>
    <w:rsid w:val="00394522"/>
    <w:rsid w:val="003A2670"/>
    <w:rsid w:val="003B03C7"/>
    <w:rsid w:val="003B27A0"/>
    <w:rsid w:val="003C4542"/>
    <w:rsid w:val="003D1714"/>
    <w:rsid w:val="003D7C7A"/>
    <w:rsid w:val="003E2DC9"/>
    <w:rsid w:val="003F1118"/>
    <w:rsid w:val="00400369"/>
    <w:rsid w:val="00403370"/>
    <w:rsid w:val="00404757"/>
    <w:rsid w:val="00411F75"/>
    <w:rsid w:val="00411F9F"/>
    <w:rsid w:val="00415711"/>
    <w:rsid w:val="00415AA5"/>
    <w:rsid w:val="00417404"/>
    <w:rsid w:val="00425116"/>
    <w:rsid w:val="004251C4"/>
    <w:rsid w:val="00425BB4"/>
    <w:rsid w:val="0042709F"/>
    <w:rsid w:val="0043108C"/>
    <w:rsid w:val="00432061"/>
    <w:rsid w:val="004321A7"/>
    <w:rsid w:val="00433C16"/>
    <w:rsid w:val="00434F9A"/>
    <w:rsid w:val="00435F97"/>
    <w:rsid w:val="00436E8A"/>
    <w:rsid w:val="00442F02"/>
    <w:rsid w:val="00444C6F"/>
    <w:rsid w:val="004451DF"/>
    <w:rsid w:val="0044568E"/>
    <w:rsid w:val="00445ADA"/>
    <w:rsid w:val="0044667F"/>
    <w:rsid w:val="00450E45"/>
    <w:rsid w:val="00452F88"/>
    <w:rsid w:val="00453A6A"/>
    <w:rsid w:val="00454311"/>
    <w:rsid w:val="00457722"/>
    <w:rsid w:val="00460C3A"/>
    <w:rsid w:val="00461453"/>
    <w:rsid w:val="0046198D"/>
    <w:rsid w:val="00471450"/>
    <w:rsid w:val="00471CA6"/>
    <w:rsid w:val="00472015"/>
    <w:rsid w:val="0047258D"/>
    <w:rsid w:val="00474070"/>
    <w:rsid w:val="00476EF9"/>
    <w:rsid w:val="0047778C"/>
    <w:rsid w:val="004843B0"/>
    <w:rsid w:val="004912BB"/>
    <w:rsid w:val="00497642"/>
    <w:rsid w:val="004979F3"/>
    <w:rsid w:val="004A5545"/>
    <w:rsid w:val="004B0135"/>
    <w:rsid w:val="004B02B3"/>
    <w:rsid w:val="004B4657"/>
    <w:rsid w:val="004B4B8E"/>
    <w:rsid w:val="004C0E59"/>
    <w:rsid w:val="004C1989"/>
    <w:rsid w:val="004C1B9D"/>
    <w:rsid w:val="004C32EF"/>
    <w:rsid w:val="004C5DB5"/>
    <w:rsid w:val="004C6442"/>
    <w:rsid w:val="004D17A7"/>
    <w:rsid w:val="004D1BFE"/>
    <w:rsid w:val="004D2B9A"/>
    <w:rsid w:val="004D5CA0"/>
    <w:rsid w:val="004D66F9"/>
    <w:rsid w:val="004D7B58"/>
    <w:rsid w:val="004E2587"/>
    <w:rsid w:val="004E5D0F"/>
    <w:rsid w:val="004E777B"/>
    <w:rsid w:val="004E79B0"/>
    <w:rsid w:val="004F1641"/>
    <w:rsid w:val="004F2FFE"/>
    <w:rsid w:val="004F5D28"/>
    <w:rsid w:val="004F7342"/>
    <w:rsid w:val="00505604"/>
    <w:rsid w:val="00505A23"/>
    <w:rsid w:val="00512204"/>
    <w:rsid w:val="00513257"/>
    <w:rsid w:val="00514E04"/>
    <w:rsid w:val="00517F44"/>
    <w:rsid w:val="00521A48"/>
    <w:rsid w:val="0052496C"/>
    <w:rsid w:val="00524AA3"/>
    <w:rsid w:val="00525B89"/>
    <w:rsid w:val="00532F8D"/>
    <w:rsid w:val="00534814"/>
    <w:rsid w:val="0053741F"/>
    <w:rsid w:val="00537572"/>
    <w:rsid w:val="0054318A"/>
    <w:rsid w:val="00545458"/>
    <w:rsid w:val="00545778"/>
    <w:rsid w:val="005463E1"/>
    <w:rsid w:val="00546FF7"/>
    <w:rsid w:val="00554F70"/>
    <w:rsid w:val="00555059"/>
    <w:rsid w:val="005577E9"/>
    <w:rsid w:val="00557CF9"/>
    <w:rsid w:val="00561100"/>
    <w:rsid w:val="00562C31"/>
    <w:rsid w:val="005653AF"/>
    <w:rsid w:val="00567F8C"/>
    <w:rsid w:val="005800F6"/>
    <w:rsid w:val="00581E91"/>
    <w:rsid w:val="00583661"/>
    <w:rsid w:val="0058534E"/>
    <w:rsid w:val="00591836"/>
    <w:rsid w:val="005918A8"/>
    <w:rsid w:val="00593576"/>
    <w:rsid w:val="00593F25"/>
    <w:rsid w:val="00594E76"/>
    <w:rsid w:val="005A42BB"/>
    <w:rsid w:val="005A48EC"/>
    <w:rsid w:val="005A608B"/>
    <w:rsid w:val="005B5AA3"/>
    <w:rsid w:val="005C063A"/>
    <w:rsid w:val="005C432F"/>
    <w:rsid w:val="005C626B"/>
    <w:rsid w:val="005D03AD"/>
    <w:rsid w:val="005D3120"/>
    <w:rsid w:val="005D4A82"/>
    <w:rsid w:val="005D4F47"/>
    <w:rsid w:val="005E0DC2"/>
    <w:rsid w:val="005E1D33"/>
    <w:rsid w:val="005E2A38"/>
    <w:rsid w:val="005E35B5"/>
    <w:rsid w:val="005F3028"/>
    <w:rsid w:val="005F386A"/>
    <w:rsid w:val="005F6D63"/>
    <w:rsid w:val="00600757"/>
    <w:rsid w:val="00607047"/>
    <w:rsid w:val="006111A1"/>
    <w:rsid w:val="00614450"/>
    <w:rsid w:val="00615A04"/>
    <w:rsid w:val="00621128"/>
    <w:rsid w:val="00632764"/>
    <w:rsid w:val="006362B5"/>
    <w:rsid w:val="006426F0"/>
    <w:rsid w:val="006467F8"/>
    <w:rsid w:val="00652EA8"/>
    <w:rsid w:val="0065391A"/>
    <w:rsid w:val="0065793F"/>
    <w:rsid w:val="006616C8"/>
    <w:rsid w:val="00664E61"/>
    <w:rsid w:val="00666F61"/>
    <w:rsid w:val="00670620"/>
    <w:rsid w:val="00673DF3"/>
    <w:rsid w:val="00674852"/>
    <w:rsid w:val="00680358"/>
    <w:rsid w:val="00681448"/>
    <w:rsid w:val="006819AF"/>
    <w:rsid w:val="00682087"/>
    <w:rsid w:val="00683BE5"/>
    <w:rsid w:val="0068738B"/>
    <w:rsid w:val="00691BA3"/>
    <w:rsid w:val="006920E6"/>
    <w:rsid w:val="006A0174"/>
    <w:rsid w:val="006A5A83"/>
    <w:rsid w:val="006B0726"/>
    <w:rsid w:val="006B40BA"/>
    <w:rsid w:val="006B5385"/>
    <w:rsid w:val="006C1ABD"/>
    <w:rsid w:val="006C4D88"/>
    <w:rsid w:val="006D0F7D"/>
    <w:rsid w:val="006E05C4"/>
    <w:rsid w:val="006E2E49"/>
    <w:rsid w:val="006E5B4E"/>
    <w:rsid w:val="006E7661"/>
    <w:rsid w:val="006F0A05"/>
    <w:rsid w:val="006F43BA"/>
    <w:rsid w:val="006F53C5"/>
    <w:rsid w:val="007037DA"/>
    <w:rsid w:val="00704514"/>
    <w:rsid w:val="0070576E"/>
    <w:rsid w:val="00710608"/>
    <w:rsid w:val="007116D2"/>
    <w:rsid w:val="00713848"/>
    <w:rsid w:val="00715A7A"/>
    <w:rsid w:val="00720BCE"/>
    <w:rsid w:val="00721F2E"/>
    <w:rsid w:val="007267DD"/>
    <w:rsid w:val="00727D74"/>
    <w:rsid w:val="00731B08"/>
    <w:rsid w:val="00731F2A"/>
    <w:rsid w:val="007347C0"/>
    <w:rsid w:val="00735774"/>
    <w:rsid w:val="00737D0B"/>
    <w:rsid w:val="0074331C"/>
    <w:rsid w:val="00744C8D"/>
    <w:rsid w:val="00755374"/>
    <w:rsid w:val="007574F7"/>
    <w:rsid w:val="00762F22"/>
    <w:rsid w:val="0076542D"/>
    <w:rsid w:val="00767E50"/>
    <w:rsid w:val="00770EA2"/>
    <w:rsid w:val="00771C0E"/>
    <w:rsid w:val="00775C55"/>
    <w:rsid w:val="0078284E"/>
    <w:rsid w:val="00795F35"/>
    <w:rsid w:val="007979BB"/>
    <w:rsid w:val="007A1E2A"/>
    <w:rsid w:val="007B1780"/>
    <w:rsid w:val="007B47D7"/>
    <w:rsid w:val="007C539C"/>
    <w:rsid w:val="007C79F0"/>
    <w:rsid w:val="007D130D"/>
    <w:rsid w:val="007D2439"/>
    <w:rsid w:val="007D46FA"/>
    <w:rsid w:val="007D6186"/>
    <w:rsid w:val="007D6257"/>
    <w:rsid w:val="007E094F"/>
    <w:rsid w:val="007E1871"/>
    <w:rsid w:val="007E3FAA"/>
    <w:rsid w:val="007E51F2"/>
    <w:rsid w:val="007E5839"/>
    <w:rsid w:val="007E7022"/>
    <w:rsid w:val="007F24D4"/>
    <w:rsid w:val="008014F3"/>
    <w:rsid w:val="00802785"/>
    <w:rsid w:val="00802E52"/>
    <w:rsid w:val="00803281"/>
    <w:rsid w:val="0080580B"/>
    <w:rsid w:val="00805E15"/>
    <w:rsid w:val="008065D8"/>
    <w:rsid w:val="00810DFB"/>
    <w:rsid w:val="00811782"/>
    <w:rsid w:val="00815516"/>
    <w:rsid w:val="00815EA6"/>
    <w:rsid w:val="00816EFC"/>
    <w:rsid w:val="00820F1C"/>
    <w:rsid w:val="0082124C"/>
    <w:rsid w:val="00821343"/>
    <w:rsid w:val="00826B4A"/>
    <w:rsid w:val="00831B6D"/>
    <w:rsid w:val="00831CD8"/>
    <w:rsid w:val="00835AE1"/>
    <w:rsid w:val="00843DBD"/>
    <w:rsid w:val="00844D23"/>
    <w:rsid w:val="008450FD"/>
    <w:rsid w:val="00852A94"/>
    <w:rsid w:val="00854D1F"/>
    <w:rsid w:val="00854F9B"/>
    <w:rsid w:val="00855F1F"/>
    <w:rsid w:val="0086127B"/>
    <w:rsid w:val="008661AC"/>
    <w:rsid w:val="00866AAD"/>
    <w:rsid w:val="0087084F"/>
    <w:rsid w:val="00870BAB"/>
    <w:rsid w:val="00871B5B"/>
    <w:rsid w:val="00875533"/>
    <w:rsid w:val="00875F42"/>
    <w:rsid w:val="00876480"/>
    <w:rsid w:val="00883563"/>
    <w:rsid w:val="00893A9D"/>
    <w:rsid w:val="00894BFD"/>
    <w:rsid w:val="008A08E3"/>
    <w:rsid w:val="008A3667"/>
    <w:rsid w:val="008A6B2D"/>
    <w:rsid w:val="008B3305"/>
    <w:rsid w:val="008B50B5"/>
    <w:rsid w:val="008C2D3A"/>
    <w:rsid w:val="008C4229"/>
    <w:rsid w:val="008C4DBC"/>
    <w:rsid w:val="008C6E55"/>
    <w:rsid w:val="008D11CC"/>
    <w:rsid w:val="008D3139"/>
    <w:rsid w:val="008D40D9"/>
    <w:rsid w:val="008D62AD"/>
    <w:rsid w:val="008E48B2"/>
    <w:rsid w:val="008E50FC"/>
    <w:rsid w:val="008E68B5"/>
    <w:rsid w:val="008E7523"/>
    <w:rsid w:val="008F3A62"/>
    <w:rsid w:val="008F45F1"/>
    <w:rsid w:val="00900701"/>
    <w:rsid w:val="00901617"/>
    <w:rsid w:val="0090623A"/>
    <w:rsid w:val="00915591"/>
    <w:rsid w:val="0092456C"/>
    <w:rsid w:val="00927E4C"/>
    <w:rsid w:val="0093137E"/>
    <w:rsid w:val="009323FE"/>
    <w:rsid w:val="0094187D"/>
    <w:rsid w:val="0094485B"/>
    <w:rsid w:val="009448F0"/>
    <w:rsid w:val="00945C71"/>
    <w:rsid w:val="009516D8"/>
    <w:rsid w:val="0095377E"/>
    <w:rsid w:val="009645AD"/>
    <w:rsid w:val="00974394"/>
    <w:rsid w:val="0097526A"/>
    <w:rsid w:val="009765EB"/>
    <w:rsid w:val="009811DC"/>
    <w:rsid w:val="00983A63"/>
    <w:rsid w:val="00983E84"/>
    <w:rsid w:val="00983FE9"/>
    <w:rsid w:val="00984457"/>
    <w:rsid w:val="00985757"/>
    <w:rsid w:val="00990294"/>
    <w:rsid w:val="00993913"/>
    <w:rsid w:val="009959B7"/>
    <w:rsid w:val="009959D0"/>
    <w:rsid w:val="009A16A1"/>
    <w:rsid w:val="009A2EE4"/>
    <w:rsid w:val="009A3008"/>
    <w:rsid w:val="009A67C7"/>
    <w:rsid w:val="009B225F"/>
    <w:rsid w:val="009B29F7"/>
    <w:rsid w:val="009B3832"/>
    <w:rsid w:val="009B4C6B"/>
    <w:rsid w:val="009B67B2"/>
    <w:rsid w:val="009C094A"/>
    <w:rsid w:val="009C3BBF"/>
    <w:rsid w:val="009C3FB8"/>
    <w:rsid w:val="009C4C02"/>
    <w:rsid w:val="009D3D7B"/>
    <w:rsid w:val="009D4021"/>
    <w:rsid w:val="009D4450"/>
    <w:rsid w:val="009D6E04"/>
    <w:rsid w:val="009E1D18"/>
    <w:rsid w:val="009E3669"/>
    <w:rsid w:val="009E5C96"/>
    <w:rsid w:val="009F03A9"/>
    <w:rsid w:val="009F64EB"/>
    <w:rsid w:val="009F6CDB"/>
    <w:rsid w:val="00A04B3C"/>
    <w:rsid w:val="00A0607A"/>
    <w:rsid w:val="00A10676"/>
    <w:rsid w:val="00A165CC"/>
    <w:rsid w:val="00A16C06"/>
    <w:rsid w:val="00A16FB0"/>
    <w:rsid w:val="00A21AE1"/>
    <w:rsid w:val="00A31CD8"/>
    <w:rsid w:val="00A3301E"/>
    <w:rsid w:val="00A33A88"/>
    <w:rsid w:val="00A33C7F"/>
    <w:rsid w:val="00A33D1E"/>
    <w:rsid w:val="00A364FB"/>
    <w:rsid w:val="00A41098"/>
    <w:rsid w:val="00A451D5"/>
    <w:rsid w:val="00A52DB1"/>
    <w:rsid w:val="00A55E36"/>
    <w:rsid w:val="00A602E7"/>
    <w:rsid w:val="00A6322A"/>
    <w:rsid w:val="00A64CB6"/>
    <w:rsid w:val="00A66963"/>
    <w:rsid w:val="00A673AF"/>
    <w:rsid w:val="00A677B5"/>
    <w:rsid w:val="00A7029A"/>
    <w:rsid w:val="00A71BE9"/>
    <w:rsid w:val="00A75122"/>
    <w:rsid w:val="00A761D6"/>
    <w:rsid w:val="00A77811"/>
    <w:rsid w:val="00A80FD2"/>
    <w:rsid w:val="00A8183F"/>
    <w:rsid w:val="00A830E0"/>
    <w:rsid w:val="00A84FD4"/>
    <w:rsid w:val="00A8763C"/>
    <w:rsid w:val="00AA6ED2"/>
    <w:rsid w:val="00AA745F"/>
    <w:rsid w:val="00AA7E5B"/>
    <w:rsid w:val="00AB2291"/>
    <w:rsid w:val="00AB269A"/>
    <w:rsid w:val="00AB4DC8"/>
    <w:rsid w:val="00AB523E"/>
    <w:rsid w:val="00AC19BB"/>
    <w:rsid w:val="00AC3082"/>
    <w:rsid w:val="00AC42CA"/>
    <w:rsid w:val="00AC4325"/>
    <w:rsid w:val="00AD1EA7"/>
    <w:rsid w:val="00AE12BD"/>
    <w:rsid w:val="00AF08A9"/>
    <w:rsid w:val="00AF218C"/>
    <w:rsid w:val="00AF2441"/>
    <w:rsid w:val="00AF7467"/>
    <w:rsid w:val="00AF7A4E"/>
    <w:rsid w:val="00AF7D73"/>
    <w:rsid w:val="00AF7FC3"/>
    <w:rsid w:val="00B01ACD"/>
    <w:rsid w:val="00B02450"/>
    <w:rsid w:val="00B03B5C"/>
    <w:rsid w:val="00B06F6D"/>
    <w:rsid w:val="00B12A88"/>
    <w:rsid w:val="00B13C7D"/>
    <w:rsid w:val="00B16C17"/>
    <w:rsid w:val="00B20A6F"/>
    <w:rsid w:val="00B2177C"/>
    <w:rsid w:val="00B2480B"/>
    <w:rsid w:val="00B2563D"/>
    <w:rsid w:val="00B25B08"/>
    <w:rsid w:val="00B26557"/>
    <w:rsid w:val="00B30C92"/>
    <w:rsid w:val="00B31771"/>
    <w:rsid w:val="00B33147"/>
    <w:rsid w:val="00B414AC"/>
    <w:rsid w:val="00B426C2"/>
    <w:rsid w:val="00B45AD5"/>
    <w:rsid w:val="00B45D96"/>
    <w:rsid w:val="00B46403"/>
    <w:rsid w:val="00B475EB"/>
    <w:rsid w:val="00B57A7D"/>
    <w:rsid w:val="00B57BB1"/>
    <w:rsid w:val="00B60D30"/>
    <w:rsid w:val="00B62847"/>
    <w:rsid w:val="00B64B47"/>
    <w:rsid w:val="00B71C94"/>
    <w:rsid w:val="00B76173"/>
    <w:rsid w:val="00B82215"/>
    <w:rsid w:val="00B8232D"/>
    <w:rsid w:val="00B86B39"/>
    <w:rsid w:val="00B909B2"/>
    <w:rsid w:val="00B91E8C"/>
    <w:rsid w:val="00B96A8B"/>
    <w:rsid w:val="00BA3056"/>
    <w:rsid w:val="00BA4E66"/>
    <w:rsid w:val="00BA61DE"/>
    <w:rsid w:val="00BB07F4"/>
    <w:rsid w:val="00BB3D6F"/>
    <w:rsid w:val="00BB62D3"/>
    <w:rsid w:val="00BB6811"/>
    <w:rsid w:val="00BB6BA7"/>
    <w:rsid w:val="00BC0372"/>
    <w:rsid w:val="00BC0B73"/>
    <w:rsid w:val="00BC0BA2"/>
    <w:rsid w:val="00BC1C9C"/>
    <w:rsid w:val="00BC1F5C"/>
    <w:rsid w:val="00BC2E21"/>
    <w:rsid w:val="00BC4141"/>
    <w:rsid w:val="00BD7C31"/>
    <w:rsid w:val="00BE2133"/>
    <w:rsid w:val="00BE46F7"/>
    <w:rsid w:val="00BE64B8"/>
    <w:rsid w:val="00BF1ED3"/>
    <w:rsid w:val="00BF2ADD"/>
    <w:rsid w:val="00BF3166"/>
    <w:rsid w:val="00BF70F6"/>
    <w:rsid w:val="00BF7A57"/>
    <w:rsid w:val="00C03995"/>
    <w:rsid w:val="00C104A7"/>
    <w:rsid w:val="00C157EF"/>
    <w:rsid w:val="00C16925"/>
    <w:rsid w:val="00C17D4A"/>
    <w:rsid w:val="00C27577"/>
    <w:rsid w:val="00C304FA"/>
    <w:rsid w:val="00C34C08"/>
    <w:rsid w:val="00C41461"/>
    <w:rsid w:val="00C41AEF"/>
    <w:rsid w:val="00C52056"/>
    <w:rsid w:val="00C52199"/>
    <w:rsid w:val="00C54640"/>
    <w:rsid w:val="00C610EE"/>
    <w:rsid w:val="00C62BA7"/>
    <w:rsid w:val="00C64990"/>
    <w:rsid w:val="00C64F21"/>
    <w:rsid w:val="00C740DF"/>
    <w:rsid w:val="00C75DAC"/>
    <w:rsid w:val="00C768A9"/>
    <w:rsid w:val="00C76E09"/>
    <w:rsid w:val="00C82A3A"/>
    <w:rsid w:val="00C83521"/>
    <w:rsid w:val="00C83D34"/>
    <w:rsid w:val="00C94130"/>
    <w:rsid w:val="00C94D4A"/>
    <w:rsid w:val="00CA2277"/>
    <w:rsid w:val="00CA38CD"/>
    <w:rsid w:val="00CA3A4C"/>
    <w:rsid w:val="00CA5187"/>
    <w:rsid w:val="00CA5C4B"/>
    <w:rsid w:val="00CA5DAD"/>
    <w:rsid w:val="00CB041B"/>
    <w:rsid w:val="00CB444E"/>
    <w:rsid w:val="00CB66C7"/>
    <w:rsid w:val="00CB6CEA"/>
    <w:rsid w:val="00CC4DC1"/>
    <w:rsid w:val="00CC5F0A"/>
    <w:rsid w:val="00CD22B0"/>
    <w:rsid w:val="00CD2F54"/>
    <w:rsid w:val="00CD49FD"/>
    <w:rsid w:val="00CD6063"/>
    <w:rsid w:val="00CF2BC3"/>
    <w:rsid w:val="00CF445E"/>
    <w:rsid w:val="00CF5EDE"/>
    <w:rsid w:val="00CF6BB8"/>
    <w:rsid w:val="00D02E60"/>
    <w:rsid w:val="00D07DA0"/>
    <w:rsid w:val="00D11167"/>
    <w:rsid w:val="00D13168"/>
    <w:rsid w:val="00D231D1"/>
    <w:rsid w:val="00D27D23"/>
    <w:rsid w:val="00D307DD"/>
    <w:rsid w:val="00D30928"/>
    <w:rsid w:val="00D320AA"/>
    <w:rsid w:val="00D37854"/>
    <w:rsid w:val="00D41326"/>
    <w:rsid w:val="00D424CB"/>
    <w:rsid w:val="00D42994"/>
    <w:rsid w:val="00D439C9"/>
    <w:rsid w:val="00D512BA"/>
    <w:rsid w:val="00D55F35"/>
    <w:rsid w:val="00D56703"/>
    <w:rsid w:val="00D56B82"/>
    <w:rsid w:val="00D57BCC"/>
    <w:rsid w:val="00D631BA"/>
    <w:rsid w:val="00D6348A"/>
    <w:rsid w:val="00D63C86"/>
    <w:rsid w:val="00D70D98"/>
    <w:rsid w:val="00D7263F"/>
    <w:rsid w:val="00D73322"/>
    <w:rsid w:val="00D7691D"/>
    <w:rsid w:val="00D81914"/>
    <w:rsid w:val="00D873B1"/>
    <w:rsid w:val="00D87D4F"/>
    <w:rsid w:val="00D87F0E"/>
    <w:rsid w:val="00D9167E"/>
    <w:rsid w:val="00D9270C"/>
    <w:rsid w:val="00D9309A"/>
    <w:rsid w:val="00D94647"/>
    <w:rsid w:val="00D94B4A"/>
    <w:rsid w:val="00D9553B"/>
    <w:rsid w:val="00D968BB"/>
    <w:rsid w:val="00DA0B6F"/>
    <w:rsid w:val="00DA1BA9"/>
    <w:rsid w:val="00DA30A2"/>
    <w:rsid w:val="00DA5D38"/>
    <w:rsid w:val="00DB50F4"/>
    <w:rsid w:val="00DB53C5"/>
    <w:rsid w:val="00DC04AC"/>
    <w:rsid w:val="00DC4915"/>
    <w:rsid w:val="00DC624D"/>
    <w:rsid w:val="00DD03A1"/>
    <w:rsid w:val="00DD1934"/>
    <w:rsid w:val="00DD3EDA"/>
    <w:rsid w:val="00DD6588"/>
    <w:rsid w:val="00DD70EA"/>
    <w:rsid w:val="00DE3EBA"/>
    <w:rsid w:val="00DF0DB1"/>
    <w:rsid w:val="00DF2B61"/>
    <w:rsid w:val="00E04B76"/>
    <w:rsid w:val="00E078E6"/>
    <w:rsid w:val="00E10924"/>
    <w:rsid w:val="00E177E2"/>
    <w:rsid w:val="00E20F1E"/>
    <w:rsid w:val="00E228B7"/>
    <w:rsid w:val="00E230B9"/>
    <w:rsid w:val="00E247EE"/>
    <w:rsid w:val="00E25222"/>
    <w:rsid w:val="00E261B5"/>
    <w:rsid w:val="00E32DD2"/>
    <w:rsid w:val="00E34399"/>
    <w:rsid w:val="00E36131"/>
    <w:rsid w:val="00E365EB"/>
    <w:rsid w:val="00E3663F"/>
    <w:rsid w:val="00E36D7E"/>
    <w:rsid w:val="00E379EE"/>
    <w:rsid w:val="00E402C2"/>
    <w:rsid w:val="00E40ACE"/>
    <w:rsid w:val="00E41FF5"/>
    <w:rsid w:val="00E42F25"/>
    <w:rsid w:val="00E447DE"/>
    <w:rsid w:val="00E44827"/>
    <w:rsid w:val="00E44F59"/>
    <w:rsid w:val="00E4740C"/>
    <w:rsid w:val="00E50D08"/>
    <w:rsid w:val="00E52A5D"/>
    <w:rsid w:val="00E5341A"/>
    <w:rsid w:val="00E64608"/>
    <w:rsid w:val="00E669AF"/>
    <w:rsid w:val="00E72497"/>
    <w:rsid w:val="00E72B1F"/>
    <w:rsid w:val="00E83B76"/>
    <w:rsid w:val="00E852EA"/>
    <w:rsid w:val="00E87069"/>
    <w:rsid w:val="00E90C32"/>
    <w:rsid w:val="00E91F7B"/>
    <w:rsid w:val="00E92442"/>
    <w:rsid w:val="00E93CDF"/>
    <w:rsid w:val="00E93E28"/>
    <w:rsid w:val="00E9475B"/>
    <w:rsid w:val="00EA0DBB"/>
    <w:rsid w:val="00EA5276"/>
    <w:rsid w:val="00EA6005"/>
    <w:rsid w:val="00EA7387"/>
    <w:rsid w:val="00EB2A38"/>
    <w:rsid w:val="00EB2FB0"/>
    <w:rsid w:val="00EB3AFE"/>
    <w:rsid w:val="00EC0C90"/>
    <w:rsid w:val="00EC228B"/>
    <w:rsid w:val="00EC2D9A"/>
    <w:rsid w:val="00EC79A6"/>
    <w:rsid w:val="00ED151B"/>
    <w:rsid w:val="00ED297E"/>
    <w:rsid w:val="00ED5999"/>
    <w:rsid w:val="00EE04D3"/>
    <w:rsid w:val="00EE22EA"/>
    <w:rsid w:val="00EE2DC9"/>
    <w:rsid w:val="00EE5645"/>
    <w:rsid w:val="00EE679E"/>
    <w:rsid w:val="00EE6879"/>
    <w:rsid w:val="00EF51C3"/>
    <w:rsid w:val="00EF53F7"/>
    <w:rsid w:val="00F01D57"/>
    <w:rsid w:val="00F04DD6"/>
    <w:rsid w:val="00F06B42"/>
    <w:rsid w:val="00F07952"/>
    <w:rsid w:val="00F13802"/>
    <w:rsid w:val="00F15B1E"/>
    <w:rsid w:val="00F167B3"/>
    <w:rsid w:val="00F204AE"/>
    <w:rsid w:val="00F2059C"/>
    <w:rsid w:val="00F217BA"/>
    <w:rsid w:val="00F26631"/>
    <w:rsid w:val="00F26A24"/>
    <w:rsid w:val="00F3472F"/>
    <w:rsid w:val="00F35709"/>
    <w:rsid w:val="00F36DCA"/>
    <w:rsid w:val="00F4008A"/>
    <w:rsid w:val="00F428A1"/>
    <w:rsid w:val="00F437F9"/>
    <w:rsid w:val="00F45681"/>
    <w:rsid w:val="00F460FB"/>
    <w:rsid w:val="00F50428"/>
    <w:rsid w:val="00F534FD"/>
    <w:rsid w:val="00F53A45"/>
    <w:rsid w:val="00F53F7E"/>
    <w:rsid w:val="00F54AB4"/>
    <w:rsid w:val="00F620BC"/>
    <w:rsid w:val="00F62636"/>
    <w:rsid w:val="00F626AC"/>
    <w:rsid w:val="00F6340E"/>
    <w:rsid w:val="00F70186"/>
    <w:rsid w:val="00F70A8E"/>
    <w:rsid w:val="00F75651"/>
    <w:rsid w:val="00F760C0"/>
    <w:rsid w:val="00F77D93"/>
    <w:rsid w:val="00F86C24"/>
    <w:rsid w:val="00F900AA"/>
    <w:rsid w:val="00FA0ED6"/>
    <w:rsid w:val="00FA39D6"/>
    <w:rsid w:val="00FA5A1E"/>
    <w:rsid w:val="00FA7F89"/>
    <w:rsid w:val="00FB2E4C"/>
    <w:rsid w:val="00FB484C"/>
    <w:rsid w:val="00FB7B24"/>
    <w:rsid w:val="00FC3552"/>
    <w:rsid w:val="00FC46BC"/>
    <w:rsid w:val="00FD00FC"/>
    <w:rsid w:val="00FD0D00"/>
    <w:rsid w:val="00FD207B"/>
    <w:rsid w:val="00FD2737"/>
    <w:rsid w:val="00FD401C"/>
    <w:rsid w:val="00FD4478"/>
    <w:rsid w:val="00FD531F"/>
    <w:rsid w:val="00FD63D3"/>
    <w:rsid w:val="00FD6887"/>
    <w:rsid w:val="00FE13CF"/>
    <w:rsid w:val="00FE1F26"/>
    <w:rsid w:val="00FE3A52"/>
    <w:rsid w:val="00FE3BC5"/>
    <w:rsid w:val="00FE43E4"/>
    <w:rsid w:val="00FE5446"/>
    <w:rsid w:val="00FE6A38"/>
    <w:rsid w:val="00FE7896"/>
    <w:rsid w:val="00FE7BC5"/>
    <w:rsid w:val="00FF1976"/>
    <w:rsid w:val="00FF20ED"/>
    <w:rsid w:val="00FF2BEA"/>
    <w:rsid w:val="00FF37B2"/>
    <w:rsid w:val="00FF4266"/>
    <w:rsid w:val="00FF4437"/>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F7C98"/>
  <w15:docId w15:val="{19CD3736-E4C8-455F-81D5-07AF5320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EA"/>
  </w:style>
  <w:style w:type="paragraph" w:styleId="Heading1">
    <w:name w:val="heading 1"/>
    <w:basedOn w:val="Normal"/>
    <w:next w:val="Normal"/>
    <w:link w:val="Heading1Char"/>
    <w:uiPriority w:val="9"/>
    <w:qFormat/>
    <w:rsid w:val="006920E6"/>
    <w:pPr>
      <w:keepNext/>
      <w:keepLines/>
      <w:numPr>
        <w:numId w:val="4"/>
      </w:numPr>
      <w:spacing w:before="240" w:after="0"/>
      <w:ind w:left="993" w:hanging="993"/>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04AC"/>
    <w:pPr>
      <w:keepNext/>
      <w:keepLines/>
      <w:numPr>
        <w:ilvl w:val="1"/>
        <w:numId w:val="4"/>
      </w:numPr>
      <w:spacing w:before="200" w:after="0"/>
      <w:ind w:left="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04AC"/>
    <w:pPr>
      <w:keepNext/>
      <w:keepLines/>
      <w:numPr>
        <w:ilvl w:val="2"/>
        <w:numId w:val="4"/>
      </w:numPr>
      <w:spacing w:before="20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7617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4365B"/>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4365B"/>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4365B"/>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4365B"/>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365B"/>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0F6"/>
    <w:pPr>
      <w:ind w:left="720"/>
      <w:contextualSpacing/>
    </w:pPr>
  </w:style>
  <w:style w:type="paragraph" w:styleId="BalloonText">
    <w:name w:val="Balloon Text"/>
    <w:basedOn w:val="Normal"/>
    <w:link w:val="BalloonTextChar"/>
    <w:uiPriority w:val="99"/>
    <w:semiHidden/>
    <w:unhideWhenUsed/>
    <w:rsid w:val="007B4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7D7"/>
    <w:rPr>
      <w:rFonts w:ascii="Segoe UI" w:hAnsi="Segoe UI" w:cs="Segoe UI"/>
      <w:sz w:val="18"/>
      <w:szCs w:val="18"/>
    </w:rPr>
  </w:style>
  <w:style w:type="paragraph" w:styleId="Title">
    <w:name w:val="Title"/>
    <w:basedOn w:val="Normal"/>
    <w:next w:val="Normal"/>
    <w:link w:val="TitleChar"/>
    <w:uiPriority w:val="10"/>
    <w:qFormat/>
    <w:rsid w:val="00CB6C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CE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6CEA"/>
    <w:rPr>
      <w:rFonts w:eastAsiaTheme="minorEastAsia"/>
      <w:color w:val="5A5A5A" w:themeColor="text1" w:themeTint="A5"/>
      <w:spacing w:val="15"/>
    </w:rPr>
  </w:style>
  <w:style w:type="character" w:styleId="Strong">
    <w:name w:val="Strong"/>
    <w:basedOn w:val="DefaultParagraphFont"/>
    <w:qFormat/>
    <w:rsid w:val="00CB6CEA"/>
    <w:rPr>
      <w:b/>
      <w:bCs/>
    </w:rPr>
  </w:style>
  <w:style w:type="character" w:styleId="CommentReference">
    <w:name w:val="annotation reference"/>
    <w:basedOn w:val="DefaultParagraphFont"/>
    <w:uiPriority w:val="99"/>
    <w:semiHidden/>
    <w:unhideWhenUsed/>
    <w:rsid w:val="00CB6CEA"/>
    <w:rPr>
      <w:sz w:val="16"/>
      <w:szCs w:val="16"/>
    </w:rPr>
  </w:style>
  <w:style w:type="paragraph" w:styleId="CommentText">
    <w:name w:val="annotation text"/>
    <w:basedOn w:val="Normal"/>
    <w:link w:val="CommentTextChar"/>
    <w:uiPriority w:val="99"/>
    <w:unhideWhenUsed/>
    <w:rsid w:val="00CB6CEA"/>
    <w:pPr>
      <w:spacing w:after="200"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CB6CEA"/>
    <w:rPr>
      <w:rFonts w:ascii="Cambria" w:hAnsi="Cambria"/>
      <w:sz w:val="20"/>
      <w:szCs w:val="20"/>
    </w:rPr>
  </w:style>
  <w:style w:type="character" w:customStyle="1" w:styleId="Heading1Char">
    <w:name w:val="Heading 1 Char"/>
    <w:basedOn w:val="DefaultParagraphFont"/>
    <w:link w:val="Heading1"/>
    <w:uiPriority w:val="9"/>
    <w:rsid w:val="006920E6"/>
    <w:rPr>
      <w:rFonts w:asciiTheme="majorHAnsi" w:eastAsiaTheme="majorEastAsia" w:hAnsiTheme="majorHAnsi" w:cstheme="majorBidi"/>
      <w:color w:val="2E74B5" w:themeColor="accent1" w:themeShade="BF"/>
      <w:sz w:val="32"/>
      <w:szCs w:val="32"/>
    </w:rPr>
  </w:style>
  <w:style w:type="paragraph" w:styleId="TOCHeading">
    <w:name w:val="TOC Heading"/>
    <w:next w:val="Normal"/>
    <w:uiPriority w:val="39"/>
    <w:unhideWhenUsed/>
    <w:qFormat/>
    <w:rsid w:val="00FD207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B6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CEA"/>
  </w:style>
  <w:style w:type="paragraph" w:styleId="BodyText">
    <w:name w:val="Body Text"/>
    <w:basedOn w:val="Normal"/>
    <w:link w:val="BodyTextChar"/>
    <w:uiPriority w:val="99"/>
    <w:unhideWhenUsed/>
    <w:rsid w:val="00CB6CEA"/>
    <w:pPr>
      <w:spacing w:after="120"/>
    </w:pPr>
  </w:style>
  <w:style w:type="character" w:customStyle="1" w:styleId="BodyTextChar">
    <w:name w:val="Body Text Char"/>
    <w:basedOn w:val="DefaultParagraphFont"/>
    <w:link w:val="BodyText"/>
    <w:uiPriority w:val="99"/>
    <w:rsid w:val="00CB6CEA"/>
  </w:style>
  <w:style w:type="paragraph" w:styleId="ListBullet">
    <w:name w:val="List Bullet"/>
    <w:basedOn w:val="Normal"/>
    <w:uiPriority w:val="99"/>
    <w:unhideWhenUsed/>
    <w:rsid w:val="00710608"/>
    <w:pPr>
      <w:numPr>
        <w:numId w:val="1"/>
      </w:numPr>
      <w:spacing w:after="40"/>
    </w:pPr>
  </w:style>
  <w:style w:type="character" w:customStyle="1" w:styleId="Heading2Char">
    <w:name w:val="Heading 2 Char"/>
    <w:basedOn w:val="DefaultParagraphFont"/>
    <w:link w:val="Heading2"/>
    <w:uiPriority w:val="9"/>
    <w:rsid w:val="00DC04AC"/>
    <w:rPr>
      <w:rFonts w:asciiTheme="majorHAnsi" w:eastAsiaTheme="majorEastAsia" w:hAnsiTheme="majorHAnsi" w:cstheme="majorBidi"/>
      <w:color w:val="2E74B5" w:themeColor="accent1" w:themeShade="BF"/>
      <w:sz w:val="26"/>
      <w:szCs w:val="26"/>
    </w:rPr>
  </w:style>
  <w:style w:type="paragraph" w:styleId="IntenseQuote">
    <w:name w:val="Intense Quote"/>
    <w:basedOn w:val="Normal"/>
    <w:next w:val="Normal"/>
    <w:link w:val="IntenseQuoteChar"/>
    <w:uiPriority w:val="30"/>
    <w:qFormat/>
    <w:rsid w:val="00F04DD6"/>
    <w:pPr>
      <w:pBdr>
        <w:top w:val="single" w:sz="4" w:space="10" w:color="5B9BD5" w:themeColor="accent1"/>
        <w:bottom w:val="single" w:sz="4" w:space="10" w:color="5B9BD5" w:themeColor="accent1"/>
      </w:pBdr>
      <w:spacing w:before="360" w:after="360"/>
      <w:ind w:left="864" w:right="864"/>
    </w:pPr>
    <w:rPr>
      <w:i/>
      <w:iCs/>
      <w:color w:val="5B9BD5" w:themeColor="accent1"/>
    </w:rPr>
  </w:style>
  <w:style w:type="character" w:customStyle="1" w:styleId="IntenseQuoteChar">
    <w:name w:val="Intense Quote Char"/>
    <w:basedOn w:val="DefaultParagraphFont"/>
    <w:link w:val="IntenseQuote"/>
    <w:uiPriority w:val="30"/>
    <w:rsid w:val="00F04DD6"/>
    <w:rPr>
      <w:i/>
      <w:iCs/>
      <w:color w:val="5B9BD5" w:themeColor="accent1"/>
    </w:rPr>
  </w:style>
  <w:style w:type="paragraph" w:styleId="ListNumber">
    <w:name w:val="List Number"/>
    <w:basedOn w:val="Normal"/>
    <w:uiPriority w:val="99"/>
    <w:unhideWhenUsed/>
    <w:rsid w:val="0097526A"/>
    <w:pPr>
      <w:numPr>
        <w:numId w:val="3"/>
      </w:numPr>
    </w:pPr>
  </w:style>
  <w:style w:type="paragraph" w:styleId="FootnoteText">
    <w:name w:val="footnote text"/>
    <w:basedOn w:val="Normal"/>
    <w:link w:val="FootnoteTextChar"/>
    <w:uiPriority w:val="99"/>
    <w:semiHidden/>
    <w:unhideWhenUsed/>
    <w:rsid w:val="00F04D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DD6"/>
    <w:rPr>
      <w:sz w:val="20"/>
      <w:szCs w:val="20"/>
    </w:rPr>
  </w:style>
  <w:style w:type="character" w:styleId="FootnoteReference">
    <w:name w:val="footnote reference"/>
    <w:basedOn w:val="DefaultParagraphFont"/>
    <w:uiPriority w:val="99"/>
    <w:semiHidden/>
    <w:unhideWhenUsed/>
    <w:rsid w:val="00F04DD6"/>
    <w:rPr>
      <w:vertAlign w:val="superscript"/>
    </w:rPr>
  </w:style>
  <w:style w:type="character" w:styleId="Emphasis">
    <w:name w:val="Emphasis"/>
    <w:basedOn w:val="DefaultParagraphFont"/>
    <w:uiPriority w:val="20"/>
    <w:qFormat/>
    <w:rsid w:val="00BA61DE"/>
    <w:rPr>
      <w:i/>
      <w:iCs/>
    </w:rPr>
  </w:style>
  <w:style w:type="paragraph" w:styleId="EndnoteText">
    <w:name w:val="endnote text"/>
    <w:basedOn w:val="Normal"/>
    <w:link w:val="EndnoteTextChar"/>
    <w:uiPriority w:val="99"/>
    <w:unhideWhenUsed/>
    <w:rsid w:val="00BA61DE"/>
    <w:pPr>
      <w:spacing w:after="0" w:line="240" w:lineRule="auto"/>
    </w:pPr>
    <w:rPr>
      <w:rFonts w:ascii="Cambria" w:hAnsi="Cambria"/>
      <w:sz w:val="20"/>
      <w:szCs w:val="20"/>
    </w:rPr>
  </w:style>
  <w:style w:type="character" w:customStyle="1" w:styleId="EndnoteTextChar">
    <w:name w:val="Endnote Text Char"/>
    <w:basedOn w:val="DefaultParagraphFont"/>
    <w:link w:val="EndnoteText"/>
    <w:uiPriority w:val="99"/>
    <w:rsid w:val="00BA61DE"/>
    <w:rPr>
      <w:rFonts w:ascii="Cambria" w:hAnsi="Cambria"/>
      <w:sz w:val="20"/>
      <w:szCs w:val="20"/>
    </w:rPr>
  </w:style>
  <w:style w:type="character" w:styleId="EndnoteReference">
    <w:name w:val="endnote reference"/>
    <w:basedOn w:val="DefaultParagraphFont"/>
    <w:uiPriority w:val="99"/>
    <w:semiHidden/>
    <w:unhideWhenUsed/>
    <w:rsid w:val="00BA61DE"/>
    <w:rPr>
      <w:vertAlign w:val="superscript"/>
    </w:rPr>
  </w:style>
  <w:style w:type="paragraph" w:styleId="Caption">
    <w:name w:val="caption"/>
    <w:basedOn w:val="Normal"/>
    <w:next w:val="Normal"/>
    <w:uiPriority w:val="35"/>
    <w:unhideWhenUsed/>
    <w:qFormat/>
    <w:rsid w:val="00BA61DE"/>
    <w:pPr>
      <w:spacing w:before="200" w:after="200" w:line="240" w:lineRule="auto"/>
      <w:jc w:val="center"/>
    </w:pPr>
    <w:rPr>
      <w:rFonts w:ascii="Cambria" w:hAnsi="Cambria"/>
      <w:b/>
      <w:bCs/>
      <w:sz w:val="18"/>
      <w:szCs w:val="18"/>
    </w:rPr>
  </w:style>
  <w:style w:type="character" w:customStyle="1" w:styleId="Heading3Char">
    <w:name w:val="Heading 3 Char"/>
    <w:basedOn w:val="DefaultParagraphFont"/>
    <w:link w:val="Heading3"/>
    <w:uiPriority w:val="9"/>
    <w:rsid w:val="00DC04AC"/>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qFormat/>
    <w:rsid w:val="00FD207B"/>
    <w:pPr>
      <w:tabs>
        <w:tab w:val="left" w:pos="440"/>
        <w:tab w:val="right" w:leader="dot" w:pos="9350"/>
      </w:tabs>
      <w:spacing w:after="100"/>
    </w:pPr>
  </w:style>
  <w:style w:type="paragraph" w:styleId="TOC2">
    <w:name w:val="toc 2"/>
    <w:basedOn w:val="Normal"/>
    <w:next w:val="Normal"/>
    <w:autoRedefine/>
    <w:uiPriority w:val="39"/>
    <w:unhideWhenUsed/>
    <w:qFormat/>
    <w:rsid w:val="00C83521"/>
    <w:pPr>
      <w:tabs>
        <w:tab w:val="left" w:pos="880"/>
        <w:tab w:val="right" w:leader="dot" w:pos="9360"/>
      </w:tabs>
      <w:spacing w:after="100"/>
      <w:ind w:left="220"/>
    </w:pPr>
  </w:style>
  <w:style w:type="paragraph" w:styleId="TOC3">
    <w:name w:val="toc 3"/>
    <w:basedOn w:val="Normal"/>
    <w:next w:val="Normal"/>
    <w:autoRedefine/>
    <w:uiPriority w:val="39"/>
    <w:unhideWhenUsed/>
    <w:qFormat/>
    <w:rsid w:val="00C83521"/>
    <w:pPr>
      <w:tabs>
        <w:tab w:val="left" w:pos="1320"/>
        <w:tab w:val="right" w:leader="dot" w:pos="9360"/>
      </w:tabs>
      <w:spacing w:after="100"/>
      <w:ind w:left="440"/>
    </w:pPr>
  </w:style>
  <w:style w:type="character" w:styleId="Hyperlink">
    <w:name w:val="Hyperlink"/>
    <w:basedOn w:val="DefaultParagraphFont"/>
    <w:uiPriority w:val="99"/>
    <w:unhideWhenUsed/>
    <w:rsid w:val="007037D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1740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417404"/>
    <w:rPr>
      <w:rFonts w:ascii="Cambria" w:hAnsi="Cambria"/>
      <w:b/>
      <w:bCs/>
      <w:sz w:val="20"/>
      <w:szCs w:val="20"/>
    </w:rPr>
  </w:style>
  <w:style w:type="character" w:customStyle="1" w:styleId="Heading4Char">
    <w:name w:val="Heading 4 Char"/>
    <w:basedOn w:val="DefaultParagraphFont"/>
    <w:link w:val="Heading4"/>
    <w:uiPriority w:val="9"/>
    <w:rsid w:val="00B76173"/>
    <w:rPr>
      <w:rFonts w:asciiTheme="majorHAnsi" w:eastAsiaTheme="majorEastAsia" w:hAnsiTheme="majorHAnsi" w:cstheme="majorBidi"/>
      <w:i/>
      <w:iCs/>
      <w:color w:val="2E74B5" w:themeColor="accent1" w:themeShade="BF"/>
    </w:rPr>
  </w:style>
  <w:style w:type="paragraph" w:styleId="ListBullet2">
    <w:name w:val="List Bullet 2"/>
    <w:basedOn w:val="Normal"/>
    <w:uiPriority w:val="99"/>
    <w:unhideWhenUsed/>
    <w:rsid w:val="00875533"/>
    <w:pPr>
      <w:numPr>
        <w:numId w:val="2"/>
      </w:numPr>
      <w:contextualSpacing/>
    </w:pPr>
  </w:style>
  <w:style w:type="character" w:customStyle="1" w:styleId="Heading5Char">
    <w:name w:val="Heading 5 Char"/>
    <w:basedOn w:val="DefaultParagraphFont"/>
    <w:link w:val="Heading5"/>
    <w:uiPriority w:val="9"/>
    <w:semiHidden/>
    <w:rsid w:val="0024365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4365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4365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436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365B"/>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682087"/>
    <w:rPr>
      <w:color w:val="954F72" w:themeColor="followedHyperlink"/>
      <w:u w:val="single"/>
    </w:rPr>
  </w:style>
  <w:style w:type="paragraph" w:customStyle="1" w:styleId="ListCheckboxItem">
    <w:name w:val="List Checkbox Item"/>
    <w:basedOn w:val="ListBullet"/>
    <w:qFormat/>
    <w:rsid w:val="00E4740C"/>
    <w:pPr>
      <w:numPr>
        <w:numId w:val="5"/>
      </w:numPr>
      <w:spacing w:after="0" w:line="240" w:lineRule="auto"/>
    </w:pPr>
    <w:rPr>
      <w:rFonts w:ascii="Cambria" w:hAnsi="Cambria"/>
    </w:rPr>
  </w:style>
  <w:style w:type="paragraph" w:customStyle="1" w:styleId="Appendix2">
    <w:name w:val="Appendix 2"/>
    <w:basedOn w:val="Heading3"/>
    <w:qFormat/>
    <w:rsid w:val="00E4740C"/>
    <w:pPr>
      <w:numPr>
        <w:ilvl w:val="0"/>
        <w:numId w:val="0"/>
      </w:numPr>
      <w:spacing w:before="240" w:after="240" w:line="276" w:lineRule="auto"/>
    </w:pPr>
    <w:rPr>
      <w:b/>
      <w:bCs/>
      <w:color w:val="auto"/>
      <w:sz w:val="22"/>
      <w:szCs w:val="22"/>
    </w:rPr>
  </w:style>
  <w:style w:type="paragraph" w:styleId="ListContinue">
    <w:name w:val="List Continue"/>
    <w:basedOn w:val="Normal"/>
    <w:uiPriority w:val="99"/>
    <w:semiHidden/>
    <w:unhideWhenUsed/>
    <w:rsid w:val="00E4740C"/>
    <w:pPr>
      <w:spacing w:after="120"/>
      <w:ind w:left="360"/>
      <w:contextualSpacing/>
    </w:pPr>
  </w:style>
  <w:style w:type="paragraph" w:styleId="Footer">
    <w:name w:val="footer"/>
    <w:basedOn w:val="Normal"/>
    <w:link w:val="FooterChar"/>
    <w:uiPriority w:val="99"/>
    <w:unhideWhenUsed/>
    <w:rsid w:val="00E4740C"/>
    <w:pPr>
      <w:tabs>
        <w:tab w:val="center" w:pos="4680"/>
        <w:tab w:val="right" w:pos="9360"/>
      </w:tabs>
      <w:spacing w:after="0" w:line="240" w:lineRule="auto"/>
    </w:pPr>
    <w:rPr>
      <w:rFonts w:ascii="Cambria" w:hAnsi="Cambria"/>
    </w:rPr>
  </w:style>
  <w:style w:type="character" w:customStyle="1" w:styleId="FooterChar">
    <w:name w:val="Footer Char"/>
    <w:basedOn w:val="DefaultParagraphFont"/>
    <w:link w:val="Footer"/>
    <w:uiPriority w:val="99"/>
    <w:rsid w:val="00E4740C"/>
    <w:rPr>
      <w:rFonts w:ascii="Cambria" w:hAnsi="Cambria"/>
    </w:rPr>
  </w:style>
  <w:style w:type="paragraph" w:customStyle="1" w:styleId="Appendix1">
    <w:name w:val="Appendix 1"/>
    <w:basedOn w:val="Heading2"/>
    <w:qFormat/>
    <w:rsid w:val="00E4740C"/>
    <w:pPr>
      <w:numPr>
        <w:ilvl w:val="0"/>
        <w:numId w:val="6"/>
      </w:numPr>
      <w:tabs>
        <w:tab w:val="left" w:pos="1800"/>
      </w:tabs>
      <w:spacing w:line="276" w:lineRule="auto"/>
    </w:pPr>
    <w:rPr>
      <w:b/>
      <w:bCs/>
      <w:color w:val="auto"/>
    </w:rPr>
  </w:style>
  <w:style w:type="paragraph" w:styleId="Revision">
    <w:name w:val="Revision"/>
    <w:hidden/>
    <w:uiPriority w:val="99"/>
    <w:semiHidden/>
    <w:rsid w:val="00DF0DB1"/>
    <w:pPr>
      <w:spacing w:after="0" w:line="240" w:lineRule="auto"/>
    </w:pPr>
  </w:style>
  <w:style w:type="character" w:styleId="PageNumber">
    <w:name w:val="page number"/>
    <w:basedOn w:val="DefaultParagraphFont"/>
    <w:uiPriority w:val="99"/>
    <w:semiHidden/>
    <w:unhideWhenUsed/>
    <w:rsid w:val="007E1871"/>
  </w:style>
  <w:style w:type="paragraph" w:customStyle="1" w:styleId="Default">
    <w:name w:val="Default"/>
    <w:rsid w:val="00E7249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920E6"/>
    <w:pPr>
      <w:spacing w:after="0" w:line="240" w:lineRule="auto"/>
    </w:pPr>
  </w:style>
  <w:style w:type="character" w:customStyle="1" w:styleId="y0nh2b">
    <w:name w:val="y0nh2b"/>
    <w:basedOn w:val="DefaultParagraphFont"/>
    <w:rsid w:val="00A364FB"/>
  </w:style>
  <w:style w:type="paragraph" w:styleId="TOC4">
    <w:name w:val="toc 4"/>
    <w:basedOn w:val="Normal"/>
    <w:next w:val="Normal"/>
    <w:autoRedefine/>
    <w:uiPriority w:val="39"/>
    <w:unhideWhenUsed/>
    <w:rsid w:val="00C83521"/>
    <w:pPr>
      <w:tabs>
        <w:tab w:val="left" w:pos="1540"/>
        <w:tab w:val="right" w:leader="dot" w:pos="9360"/>
      </w:tabs>
      <w:ind w:left="660"/>
    </w:pPr>
  </w:style>
  <w:style w:type="paragraph" w:styleId="TOC5">
    <w:name w:val="toc 5"/>
    <w:basedOn w:val="Normal"/>
    <w:next w:val="Normal"/>
    <w:autoRedefine/>
    <w:uiPriority w:val="39"/>
    <w:unhideWhenUsed/>
    <w:rsid w:val="0080580B"/>
    <w:pPr>
      <w:ind w:left="880"/>
    </w:pPr>
  </w:style>
  <w:style w:type="paragraph" w:styleId="TOC6">
    <w:name w:val="toc 6"/>
    <w:basedOn w:val="Normal"/>
    <w:next w:val="Normal"/>
    <w:autoRedefine/>
    <w:uiPriority w:val="39"/>
    <w:unhideWhenUsed/>
    <w:rsid w:val="0080580B"/>
    <w:pPr>
      <w:ind w:left="1100"/>
    </w:pPr>
  </w:style>
  <w:style w:type="paragraph" w:styleId="TOC7">
    <w:name w:val="toc 7"/>
    <w:basedOn w:val="Normal"/>
    <w:next w:val="Normal"/>
    <w:autoRedefine/>
    <w:uiPriority w:val="39"/>
    <w:unhideWhenUsed/>
    <w:rsid w:val="0080580B"/>
    <w:pPr>
      <w:ind w:left="1320"/>
    </w:pPr>
  </w:style>
  <w:style w:type="paragraph" w:styleId="TOC8">
    <w:name w:val="toc 8"/>
    <w:basedOn w:val="Normal"/>
    <w:next w:val="Normal"/>
    <w:autoRedefine/>
    <w:uiPriority w:val="39"/>
    <w:unhideWhenUsed/>
    <w:rsid w:val="0080580B"/>
    <w:pPr>
      <w:ind w:left="1540"/>
    </w:pPr>
  </w:style>
  <w:style w:type="paragraph" w:styleId="TOC9">
    <w:name w:val="toc 9"/>
    <w:basedOn w:val="Normal"/>
    <w:next w:val="Normal"/>
    <w:autoRedefine/>
    <w:uiPriority w:val="39"/>
    <w:unhideWhenUsed/>
    <w:rsid w:val="0080580B"/>
    <w:pPr>
      <w:ind w:left="1760"/>
    </w:pPr>
  </w:style>
  <w:style w:type="paragraph" w:styleId="BodyText2">
    <w:name w:val="Body Text 2"/>
    <w:basedOn w:val="Normal"/>
    <w:link w:val="BodyText2Char"/>
    <w:uiPriority w:val="99"/>
    <w:semiHidden/>
    <w:unhideWhenUsed/>
    <w:rsid w:val="00091795"/>
    <w:pPr>
      <w:spacing w:after="120" w:line="480" w:lineRule="auto"/>
    </w:pPr>
  </w:style>
  <w:style w:type="character" w:customStyle="1" w:styleId="BodyText2Char">
    <w:name w:val="Body Text 2 Char"/>
    <w:basedOn w:val="DefaultParagraphFont"/>
    <w:link w:val="BodyText2"/>
    <w:uiPriority w:val="99"/>
    <w:semiHidden/>
    <w:rsid w:val="00091795"/>
  </w:style>
  <w:style w:type="character" w:styleId="LineNumber">
    <w:name w:val="line number"/>
    <w:basedOn w:val="DefaultParagraphFont"/>
    <w:uiPriority w:val="99"/>
    <w:semiHidden/>
    <w:unhideWhenUsed/>
    <w:rsid w:val="004B4657"/>
  </w:style>
  <w:style w:type="character" w:styleId="UnresolvedMention">
    <w:name w:val="Unresolved Mention"/>
    <w:basedOn w:val="DefaultParagraphFont"/>
    <w:uiPriority w:val="99"/>
    <w:semiHidden/>
    <w:unhideWhenUsed/>
    <w:rsid w:val="00FD6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606686">
      <w:bodyDiv w:val="1"/>
      <w:marLeft w:val="0"/>
      <w:marRight w:val="0"/>
      <w:marTop w:val="0"/>
      <w:marBottom w:val="0"/>
      <w:divBdr>
        <w:top w:val="none" w:sz="0" w:space="0" w:color="auto"/>
        <w:left w:val="none" w:sz="0" w:space="0" w:color="auto"/>
        <w:bottom w:val="none" w:sz="0" w:space="0" w:color="auto"/>
        <w:right w:val="none" w:sz="0" w:space="0" w:color="auto"/>
      </w:divBdr>
      <w:divsChild>
        <w:div w:id="98065288">
          <w:marLeft w:val="547"/>
          <w:marRight w:val="0"/>
          <w:marTop w:val="77"/>
          <w:marBottom w:val="0"/>
          <w:divBdr>
            <w:top w:val="none" w:sz="0" w:space="0" w:color="auto"/>
            <w:left w:val="none" w:sz="0" w:space="0" w:color="auto"/>
            <w:bottom w:val="none" w:sz="0" w:space="0" w:color="auto"/>
            <w:right w:val="none" w:sz="0" w:space="0" w:color="auto"/>
          </w:divBdr>
        </w:div>
        <w:div w:id="544216263">
          <w:marLeft w:val="547"/>
          <w:marRight w:val="0"/>
          <w:marTop w:val="77"/>
          <w:marBottom w:val="0"/>
          <w:divBdr>
            <w:top w:val="none" w:sz="0" w:space="0" w:color="auto"/>
            <w:left w:val="none" w:sz="0" w:space="0" w:color="auto"/>
            <w:bottom w:val="none" w:sz="0" w:space="0" w:color="auto"/>
            <w:right w:val="none" w:sz="0" w:space="0" w:color="auto"/>
          </w:divBdr>
        </w:div>
        <w:div w:id="697319821">
          <w:marLeft w:val="547"/>
          <w:marRight w:val="0"/>
          <w:marTop w:val="77"/>
          <w:marBottom w:val="0"/>
          <w:divBdr>
            <w:top w:val="none" w:sz="0" w:space="0" w:color="auto"/>
            <w:left w:val="none" w:sz="0" w:space="0" w:color="auto"/>
            <w:bottom w:val="none" w:sz="0" w:space="0" w:color="auto"/>
            <w:right w:val="none" w:sz="0" w:space="0" w:color="auto"/>
          </w:divBdr>
        </w:div>
        <w:div w:id="725446616">
          <w:marLeft w:val="547"/>
          <w:marRight w:val="0"/>
          <w:marTop w:val="77"/>
          <w:marBottom w:val="0"/>
          <w:divBdr>
            <w:top w:val="none" w:sz="0" w:space="0" w:color="auto"/>
            <w:left w:val="none" w:sz="0" w:space="0" w:color="auto"/>
            <w:bottom w:val="none" w:sz="0" w:space="0" w:color="auto"/>
            <w:right w:val="none" w:sz="0" w:space="0" w:color="auto"/>
          </w:divBdr>
        </w:div>
        <w:div w:id="1177766338">
          <w:marLeft w:val="547"/>
          <w:marRight w:val="0"/>
          <w:marTop w:val="77"/>
          <w:marBottom w:val="0"/>
          <w:divBdr>
            <w:top w:val="none" w:sz="0" w:space="0" w:color="auto"/>
            <w:left w:val="none" w:sz="0" w:space="0" w:color="auto"/>
            <w:bottom w:val="none" w:sz="0" w:space="0" w:color="auto"/>
            <w:right w:val="none" w:sz="0" w:space="0" w:color="auto"/>
          </w:divBdr>
        </w:div>
        <w:div w:id="1201018295">
          <w:marLeft w:val="547"/>
          <w:marRight w:val="0"/>
          <w:marTop w:val="77"/>
          <w:marBottom w:val="0"/>
          <w:divBdr>
            <w:top w:val="none" w:sz="0" w:space="0" w:color="auto"/>
            <w:left w:val="none" w:sz="0" w:space="0" w:color="auto"/>
            <w:bottom w:val="none" w:sz="0" w:space="0" w:color="auto"/>
            <w:right w:val="none" w:sz="0" w:space="0" w:color="auto"/>
          </w:divBdr>
        </w:div>
        <w:div w:id="1260407817">
          <w:marLeft w:val="547"/>
          <w:marRight w:val="0"/>
          <w:marTop w:val="77"/>
          <w:marBottom w:val="0"/>
          <w:divBdr>
            <w:top w:val="none" w:sz="0" w:space="0" w:color="auto"/>
            <w:left w:val="none" w:sz="0" w:space="0" w:color="auto"/>
            <w:bottom w:val="none" w:sz="0" w:space="0" w:color="auto"/>
            <w:right w:val="none" w:sz="0" w:space="0" w:color="auto"/>
          </w:divBdr>
        </w:div>
        <w:div w:id="1751921931">
          <w:marLeft w:val="547"/>
          <w:marRight w:val="0"/>
          <w:marTop w:val="77"/>
          <w:marBottom w:val="0"/>
          <w:divBdr>
            <w:top w:val="none" w:sz="0" w:space="0" w:color="auto"/>
            <w:left w:val="none" w:sz="0" w:space="0" w:color="auto"/>
            <w:bottom w:val="none" w:sz="0" w:space="0" w:color="auto"/>
            <w:right w:val="none" w:sz="0" w:space="0" w:color="auto"/>
          </w:divBdr>
        </w:div>
        <w:div w:id="2037193733">
          <w:marLeft w:val="547"/>
          <w:marRight w:val="0"/>
          <w:marTop w:val="77"/>
          <w:marBottom w:val="0"/>
          <w:divBdr>
            <w:top w:val="none" w:sz="0" w:space="0" w:color="auto"/>
            <w:left w:val="none" w:sz="0" w:space="0" w:color="auto"/>
            <w:bottom w:val="none" w:sz="0" w:space="0" w:color="auto"/>
            <w:right w:val="none" w:sz="0" w:space="0" w:color="auto"/>
          </w:divBdr>
        </w:div>
        <w:div w:id="2088185074">
          <w:marLeft w:val="547"/>
          <w:marRight w:val="0"/>
          <w:marTop w:val="77"/>
          <w:marBottom w:val="0"/>
          <w:divBdr>
            <w:top w:val="none" w:sz="0" w:space="0" w:color="auto"/>
            <w:left w:val="none" w:sz="0" w:space="0" w:color="auto"/>
            <w:bottom w:val="none" w:sz="0" w:space="0" w:color="auto"/>
            <w:right w:val="none" w:sz="0" w:space="0" w:color="auto"/>
          </w:divBdr>
        </w:div>
      </w:divsChild>
    </w:div>
    <w:div w:id="304433454">
      <w:bodyDiv w:val="1"/>
      <w:marLeft w:val="0"/>
      <w:marRight w:val="0"/>
      <w:marTop w:val="0"/>
      <w:marBottom w:val="0"/>
      <w:divBdr>
        <w:top w:val="none" w:sz="0" w:space="0" w:color="auto"/>
        <w:left w:val="none" w:sz="0" w:space="0" w:color="auto"/>
        <w:bottom w:val="none" w:sz="0" w:space="0" w:color="auto"/>
        <w:right w:val="none" w:sz="0" w:space="0" w:color="auto"/>
      </w:divBdr>
    </w:div>
    <w:div w:id="324019196">
      <w:bodyDiv w:val="1"/>
      <w:marLeft w:val="0"/>
      <w:marRight w:val="0"/>
      <w:marTop w:val="0"/>
      <w:marBottom w:val="0"/>
      <w:divBdr>
        <w:top w:val="none" w:sz="0" w:space="0" w:color="auto"/>
        <w:left w:val="none" w:sz="0" w:space="0" w:color="auto"/>
        <w:bottom w:val="none" w:sz="0" w:space="0" w:color="auto"/>
        <w:right w:val="none" w:sz="0" w:space="0" w:color="auto"/>
      </w:divBdr>
    </w:div>
    <w:div w:id="612134562">
      <w:bodyDiv w:val="1"/>
      <w:marLeft w:val="0"/>
      <w:marRight w:val="0"/>
      <w:marTop w:val="0"/>
      <w:marBottom w:val="0"/>
      <w:divBdr>
        <w:top w:val="none" w:sz="0" w:space="0" w:color="auto"/>
        <w:left w:val="none" w:sz="0" w:space="0" w:color="auto"/>
        <w:bottom w:val="none" w:sz="0" w:space="0" w:color="auto"/>
        <w:right w:val="none" w:sz="0" w:space="0" w:color="auto"/>
      </w:divBdr>
    </w:div>
    <w:div w:id="652872843">
      <w:bodyDiv w:val="1"/>
      <w:marLeft w:val="0"/>
      <w:marRight w:val="0"/>
      <w:marTop w:val="0"/>
      <w:marBottom w:val="0"/>
      <w:divBdr>
        <w:top w:val="none" w:sz="0" w:space="0" w:color="auto"/>
        <w:left w:val="none" w:sz="0" w:space="0" w:color="auto"/>
        <w:bottom w:val="none" w:sz="0" w:space="0" w:color="auto"/>
        <w:right w:val="none" w:sz="0" w:space="0" w:color="auto"/>
      </w:divBdr>
    </w:div>
    <w:div w:id="727806802">
      <w:bodyDiv w:val="1"/>
      <w:marLeft w:val="0"/>
      <w:marRight w:val="0"/>
      <w:marTop w:val="0"/>
      <w:marBottom w:val="0"/>
      <w:divBdr>
        <w:top w:val="none" w:sz="0" w:space="0" w:color="auto"/>
        <w:left w:val="none" w:sz="0" w:space="0" w:color="auto"/>
        <w:bottom w:val="none" w:sz="0" w:space="0" w:color="auto"/>
        <w:right w:val="none" w:sz="0" w:space="0" w:color="auto"/>
      </w:divBdr>
    </w:div>
    <w:div w:id="772937921">
      <w:bodyDiv w:val="1"/>
      <w:marLeft w:val="0"/>
      <w:marRight w:val="0"/>
      <w:marTop w:val="0"/>
      <w:marBottom w:val="0"/>
      <w:divBdr>
        <w:top w:val="none" w:sz="0" w:space="0" w:color="auto"/>
        <w:left w:val="none" w:sz="0" w:space="0" w:color="auto"/>
        <w:bottom w:val="none" w:sz="0" w:space="0" w:color="auto"/>
        <w:right w:val="none" w:sz="0" w:space="0" w:color="auto"/>
      </w:divBdr>
    </w:div>
    <w:div w:id="1183125131">
      <w:bodyDiv w:val="1"/>
      <w:marLeft w:val="0"/>
      <w:marRight w:val="0"/>
      <w:marTop w:val="0"/>
      <w:marBottom w:val="0"/>
      <w:divBdr>
        <w:top w:val="none" w:sz="0" w:space="0" w:color="auto"/>
        <w:left w:val="none" w:sz="0" w:space="0" w:color="auto"/>
        <w:bottom w:val="none" w:sz="0" w:space="0" w:color="auto"/>
        <w:right w:val="none" w:sz="0" w:space="0" w:color="auto"/>
      </w:divBdr>
    </w:div>
    <w:div w:id="1398284221">
      <w:bodyDiv w:val="1"/>
      <w:marLeft w:val="0"/>
      <w:marRight w:val="0"/>
      <w:marTop w:val="0"/>
      <w:marBottom w:val="0"/>
      <w:divBdr>
        <w:top w:val="none" w:sz="0" w:space="0" w:color="auto"/>
        <w:left w:val="none" w:sz="0" w:space="0" w:color="auto"/>
        <w:bottom w:val="none" w:sz="0" w:space="0" w:color="auto"/>
        <w:right w:val="none" w:sz="0" w:space="0" w:color="auto"/>
      </w:divBdr>
    </w:div>
    <w:div w:id="1447431275">
      <w:bodyDiv w:val="1"/>
      <w:marLeft w:val="0"/>
      <w:marRight w:val="0"/>
      <w:marTop w:val="0"/>
      <w:marBottom w:val="0"/>
      <w:divBdr>
        <w:top w:val="none" w:sz="0" w:space="0" w:color="auto"/>
        <w:left w:val="none" w:sz="0" w:space="0" w:color="auto"/>
        <w:bottom w:val="none" w:sz="0" w:space="0" w:color="auto"/>
        <w:right w:val="none" w:sz="0" w:space="0" w:color="auto"/>
      </w:divBdr>
    </w:div>
    <w:div w:id="1484857794">
      <w:bodyDiv w:val="1"/>
      <w:marLeft w:val="0"/>
      <w:marRight w:val="0"/>
      <w:marTop w:val="0"/>
      <w:marBottom w:val="0"/>
      <w:divBdr>
        <w:top w:val="none" w:sz="0" w:space="0" w:color="auto"/>
        <w:left w:val="none" w:sz="0" w:space="0" w:color="auto"/>
        <w:bottom w:val="none" w:sz="0" w:space="0" w:color="auto"/>
        <w:right w:val="none" w:sz="0" w:space="0" w:color="auto"/>
      </w:divBdr>
    </w:div>
    <w:div w:id="1746949206">
      <w:bodyDiv w:val="1"/>
      <w:marLeft w:val="0"/>
      <w:marRight w:val="0"/>
      <w:marTop w:val="0"/>
      <w:marBottom w:val="0"/>
      <w:divBdr>
        <w:top w:val="none" w:sz="0" w:space="0" w:color="auto"/>
        <w:left w:val="none" w:sz="0" w:space="0" w:color="auto"/>
        <w:bottom w:val="none" w:sz="0" w:space="0" w:color="auto"/>
        <w:right w:val="none" w:sz="0" w:space="0" w:color="auto"/>
      </w:divBdr>
    </w:div>
    <w:div w:id="1802839043">
      <w:bodyDiv w:val="1"/>
      <w:marLeft w:val="0"/>
      <w:marRight w:val="0"/>
      <w:marTop w:val="0"/>
      <w:marBottom w:val="0"/>
      <w:divBdr>
        <w:top w:val="none" w:sz="0" w:space="0" w:color="auto"/>
        <w:left w:val="none" w:sz="0" w:space="0" w:color="auto"/>
        <w:bottom w:val="none" w:sz="0" w:space="0" w:color="auto"/>
        <w:right w:val="none" w:sz="0" w:space="0" w:color="auto"/>
      </w:divBdr>
    </w:div>
    <w:div w:id="1872955982">
      <w:bodyDiv w:val="1"/>
      <w:marLeft w:val="0"/>
      <w:marRight w:val="0"/>
      <w:marTop w:val="0"/>
      <w:marBottom w:val="0"/>
      <w:divBdr>
        <w:top w:val="none" w:sz="0" w:space="0" w:color="auto"/>
        <w:left w:val="none" w:sz="0" w:space="0" w:color="auto"/>
        <w:bottom w:val="none" w:sz="0" w:space="0" w:color="auto"/>
        <w:right w:val="none" w:sz="0" w:space="0" w:color="auto"/>
      </w:divBdr>
    </w:div>
    <w:div w:id="1883594689">
      <w:bodyDiv w:val="1"/>
      <w:marLeft w:val="0"/>
      <w:marRight w:val="0"/>
      <w:marTop w:val="0"/>
      <w:marBottom w:val="0"/>
      <w:divBdr>
        <w:top w:val="none" w:sz="0" w:space="0" w:color="auto"/>
        <w:left w:val="none" w:sz="0" w:space="0" w:color="auto"/>
        <w:bottom w:val="none" w:sz="0" w:space="0" w:color="auto"/>
        <w:right w:val="none" w:sz="0" w:space="0" w:color="auto"/>
      </w:divBdr>
    </w:div>
    <w:div w:id="1938366432">
      <w:bodyDiv w:val="1"/>
      <w:marLeft w:val="0"/>
      <w:marRight w:val="0"/>
      <w:marTop w:val="0"/>
      <w:marBottom w:val="0"/>
      <w:divBdr>
        <w:top w:val="none" w:sz="0" w:space="0" w:color="auto"/>
        <w:left w:val="none" w:sz="0" w:space="0" w:color="auto"/>
        <w:bottom w:val="none" w:sz="0" w:space="0" w:color="auto"/>
        <w:right w:val="none" w:sz="0" w:space="0" w:color="auto"/>
      </w:divBdr>
      <w:divsChild>
        <w:div w:id="570887238">
          <w:marLeft w:val="0"/>
          <w:marRight w:val="0"/>
          <w:marTop w:val="0"/>
          <w:marBottom w:val="0"/>
          <w:divBdr>
            <w:top w:val="none" w:sz="0" w:space="0" w:color="auto"/>
            <w:left w:val="none" w:sz="0" w:space="0" w:color="auto"/>
            <w:bottom w:val="none" w:sz="0" w:space="0" w:color="auto"/>
            <w:right w:val="none" w:sz="0" w:space="0" w:color="auto"/>
          </w:divBdr>
          <w:divsChild>
            <w:div w:id="1941713644">
              <w:marLeft w:val="0"/>
              <w:marRight w:val="0"/>
              <w:marTop w:val="0"/>
              <w:marBottom w:val="0"/>
              <w:divBdr>
                <w:top w:val="none" w:sz="0" w:space="0" w:color="auto"/>
                <w:left w:val="none" w:sz="0" w:space="0" w:color="auto"/>
                <w:bottom w:val="none" w:sz="0" w:space="0" w:color="auto"/>
                <w:right w:val="none" w:sz="0" w:space="0" w:color="auto"/>
              </w:divBdr>
              <w:divsChild>
                <w:div w:id="1860509461">
                  <w:marLeft w:val="0"/>
                  <w:marRight w:val="0"/>
                  <w:marTop w:val="0"/>
                  <w:marBottom w:val="0"/>
                  <w:divBdr>
                    <w:top w:val="none" w:sz="0" w:space="0" w:color="auto"/>
                    <w:left w:val="none" w:sz="0" w:space="0" w:color="auto"/>
                    <w:bottom w:val="none" w:sz="0" w:space="0" w:color="auto"/>
                    <w:right w:val="none" w:sz="0" w:space="0" w:color="auto"/>
                  </w:divBdr>
                  <w:divsChild>
                    <w:div w:id="461197837">
                      <w:marLeft w:val="0"/>
                      <w:marRight w:val="0"/>
                      <w:marTop w:val="0"/>
                      <w:marBottom w:val="0"/>
                      <w:divBdr>
                        <w:top w:val="none" w:sz="0" w:space="0" w:color="auto"/>
                        <w:left w:val="none" w:sz="0" w:space="0" w:color="auto"/>
                        <w:bottom w:val="none" w:sz="0" w:space="0" w:color="auto"/>
                        <w:right w:val="none" w:sz="0" w:space="0" w:color="auto"/>
                      </w:divBdr>
                      <w:divsChild>
                        <w:div w:id="1228030301">
                          <w:marLeft w:val="0"/>
                          <w:marRight w:val="0"/>
                          <w:marTop w:val="0"/>
                          <w:marBottom w:val="0"/>
                          <w:divBdr>
                            <w:top w:val="none" w:sz="0" w:space="0" w:color="auto"/>
                            <w:left w:val="none" w:sz="0" w:space="0" w:color="auto"/>
                            <w:bottom w:val="none" w:sz="0" w:space="0" w:color="auto"/>
                            <w:right w:val="none" w:sz="0" w:space="0" w:color="auto"/>
                          </w:divBdr>
                          <w:divsChild>
                            <w:div w:id="558635011">
                              <w:marLeft w:val="0"/>
                              <w:marRight w:val="0"/>
                              <w:marTop w:val="0"/>
                              <w:marBottom w:val="0"/>
                              <w:divBdr>
                                <w:top w:val="none" w:sz="0" w:space="0" w:color="auto"/>
                                <w:left w:val="none" w:sz="0" w:space="0" w:color="auto"/>
                                <w:bottom w:val="none" w:sz="0" w:space="0" w:color="auto"/>
                                <w:right w:val="none" w:sz="0" w:space="0" w:color="auto"/>
                              </w:divBdr>
                              <w:divsChild>
                                <w:div w:id="1820459696">
                                  <w:marLeft w:val="-225"/>
                                  <w:marRight w:val="-225"/>
                                  <w:marTop w:val="0"/>
                                  <w:marBottom w:val="0"/>
                                  <w:divBdr>
                                    <w:top w:val="none" w:sz="0" w:space="0" w:color="auto"/>
                                    <w:left w:val="none" w:sz="0" w:space="0" w:color="auto"/>
                                    <w:bottom w:val="none" w:sz="0" w:space="0" w:color="auto"/>
                                    <w:right w:val="none" w:sz="0" w:space="0" w:color="auto"/>
                                  </w:divBdr>
                                  <w:divsChild>
                                    <w:div w:id="11734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161027">
      <w:bodyDiv w:val="1"/>
      <w:marLeft w:val="0"/>
      <w:marRight w:val="0"/>
      <w:marTop w:val="0"/>
      <w:marBottom w:val="0"/>
      <w:divBdr>
        <w:top w:val="none" w:sz="0" w:space="0" w:color="auto"/>
        <w:left w:val="none" w:sz="0" w:space="0" w:color="auto"/>
        <w:bottom w:val="none" w:sz="0" w:space="0" w:color="auto"/>
        <w:right w:val="none" w:sz="0" w:space="0" w:color="auto"/>
      </w:divBdr>
    </w:div>
    <w:div w:id="2040811153">
      <w:bodyDiv w:val="1"/>
      <w:marLeft w:val="0"/>
      <w:marRight w:val="0"/>
      <w:marTop w:val="0"/>
      <w:marBottom w:val="0"/>
      <w:divBdr>
        <w:top w:val="none" w:sz="0" w:space="0" w:color="auto"/>
        <w:left w:val="none" w:sz="0" w:space="0" w:color="auto"/>
        <w:bottom w:val="none" w:sz="0" w:space="0" w:color="auto"/>
        <w:right w:val="none" w:sz="0" w:space="0" w:color="auto"/>
      </w:divBdr>
    </w:div>
    <w:div w:id="20529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o.org/standard/83670.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andards.ieee.org/ieee/2675/68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vid@nni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
</file>

<file path=customXml/item3.xml>
</file>

<file path=customXml/itemProps1.xml><?xml version="1.0" encoding="utf-8"?>
<ds:datastoreItem xmlns:ds="http://schemas.openxmlformats.org/officeDocument/2006/customXml" ds:itemID="{62887841-864D-4206-BD92-9024FBF76C43}">
  <ds:schemaRefs>
    <ds:schemaRef ds:uri="http://schemas.openxmlformats.org/officeDocument/2006/bibliography"/>
  </ds:schemaRefs>
</ds:datastoreItem>
</file>

<file path=customXml/itemProps2.xml><?xml version="1.0" encoding="utf-8"?>
<ds:datastoreItem xmlns:ds="http://schemas.openxmlformats.org/officeDocument/2006/customXml" ds:itemID="{264B84C3-51FA-45DE-B825-781E74959D46}"/>
</file>

<file path=customXml/itemProps3.xml><?xml version="1.0" encoding="utf-8"?>
<ds:datastoreItem xmlns:ds="http://schemas.openxmlformats.org/officeDocument/2006/customXml" ds:itemID="{5FAAFCCF-2BF5-4EB9-928C-A1707855B823}"/>
</file>

<file path=docProps/app.xml><?xml version="1.0" encoding="utf-8"?>
<Properties xmlns="http://schemas.openxmlformats.org/officeDocument/2006/extended-properties" xmlns:vt="http://schemas.openxmlformats.org/officeDocument/2006/docPropsVTypes">
  <Template>Normal.dotm</Template>
  <TotalTime>46</TotalTime>
  <Pages>1</Pages>
  <Words>11960</Words>
  <Characters>68174</Characters>
  <Application>Microsoft Office Word</Application>
  <DocSecurity>4</DocSecurity>
  <Lines>568</Lines>
  <Paragraphs>159</Paragraphs>
  <ScaleCrop>false</ScaleCrop>
  <HeadingPairs>
    <vt:vector size="2" baseType="variant">
      <vt:variant>
        <vt:lpstr>Title</vt:lpstr>
      </vt:variant>
      <vt:variant>
        <vt:i4>1</vt:i4>
      </vt:variant>
    </vt:vector>
  </HeadingPairs>
  <TitlesOfParts>
    <vt:vector size="1" baseType="lpstr">
      <vt:lpstr>PhUSE - Cloud Services Adoption Framework</vt:lpstr>
    </vt:vector>
  </TitlesOfParts>
  <Company>NNIT A/S</Company>
  <LinksUpToDate>false</LinksUpToDate>
  <CharactersWithSpaces>79975</CharactersWithSpaces>
  <SharedDoc>false</SharedDoc>
  <HLinks>
    <vt:vector size="18" baseType="variant">
      <vt:variant>
        <vt:i4>7077947</vt:i4>
      </vt:variant>
      <vt:variant>
        <vt:i4>129</vt:i4>
      </vt:variant>
      <vt:variant>
        <vt:i4>0</vt:i4>
      </vt:variant>
      <vt:variant>
        <vt:i4>5</vt:i4>
      </vt:variant>
      <vt:variant>
        <vt:lpwstr>https://www.iso.org/standard/83670.html</vt:lpwstr>
      </vt:variant>
      <vt:variant>
        <vt:lpwstr/>
      </vt:variant>
      <vt:variant>
        <vt:i4>2228330</vt:i4>
      </vt:variant>
      <vt:variant>
        <vt:i4>126</vt:i4>
      </vt:variant>
      <vt:variant>
        <vt:i4>0</vt:i4>
      </vt:variant>
      <vt:variant>
        <vt:i4>5</vt:i4>
      </vt:variant>
      <vt:variant>
        <vt:lpwstr>https://standards.ieee.org/ieee/2675/6830/</vt:lpwstr>
      </vt:variant>
      <vt:variant>
        <vt:lpwstr/>
      </vt:variant>
      <vt:variant>
        <vt:i4>4063262</vt:i4>
      </vt:variant>
      <vt:variant>
        <vt:i4>0</vt:i4>
      </vt:variant>
      <vt:variant>
        <vt:i4>0</vt:i4>
      </vt:variant>
      <vt:variant>
        <vt:i4>5</vt:i4>
      </vt:variant>
      <vt:variant>
        <vt:lpwstr>mailto:avid@nnit.com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PhUSE - Cloud Services Adoption Framework</dc:title>
  <dc:subject/>
  <dc:creator>avid@nnit.com</dc:creator>
  <cp:keywords/>
  <cp:lastModifiedBy>Alexandra Pearce</cp:lastModifiedBy>
  <cp:revision>15</cp:revision>
  <cp:lastPrinted>2019-03-11T21:20:00Z</cp:lastPrinted>
  <dcterms:created xsi:type="dcterms:W3CDTF">2023-06-12T00:57:00Z</dcterms:created>
  <dcterms:modified xsi:type="dcterms:W3CDTF">2023-06-29T20:49:00Z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13f0cb32-1bae-4301-946f-b2c14ff5b88a</vt:lpwstr>
  </property>
  <property fmtid="{D5CDD505-2E9C-101B-9397-08002B2CF9AE}" pid="3" name="bjSaver">
    <vt:lpwstr>AZIB6PZsvdQOlji9T+GPacu2sGc3WG+y</vt:lpwstr>
  </property>
  <property fmtid="{D5CDD505-2E9C-101B-9397-08002B2CF9AE}" pid="4" name="DM_Version">
    <vt:lpwstr>CURRENT,1.0</vt:lpwstr>
  </property>
  <property fmtid="{D5CDD505-2E9C-101B-9397-08002B2CF9AE}" pid="5" name="DM_Name">
    <vt:lpwstr>03.1.1 PhUSE Document on Clouds</vt:lpwstr>
  </property>
  <property fmtid="{D5CDD505-2E9C-101B-9397-08002B2CF9AE}" pid="6" name="DM_Creation_Date">
    <vt:lpwstr>25/11/2015 18:59:45</vt:lpwstr>
  </property>
  <property fmtid="{D5CDD505-2E9C-101B-9397-08002B2CF9AE}" pid="7" name="DM_Modify_Date">
    <vt:lpwstr>25/11/2015 18:59:45</vt:lpwstr>
  </property>
  <property fmtid="{D5CDD505-2E9C-101B-9397-08002B2CF9AE}" pid="8" name="DM_Creator_Name">
    <vt:lpwstr>Gondro Mariola</vt:lpwstr>
  </property>
  <property fmtid="{D5CDD505-2E9C-101B-9397-08002B2CF9AE}" pid="9" name="DM_Modifier_Name">
    <vt:lpwstr>Gondro Mariola</vt:lpwstr>
  </property>
  <property fmtid="{D5CDD505-2E9C-101B-9397-08002B2CF9AE}" pid="10" name="DM_Type">
    <vt:lpwstr>emea_document</vt:lpwstr>
  </property>
  <property fmtid="{D5CDD505-2E9C-101B-9397-08002B2CF9AE}" pid="11" name="DM_DocRefId">
    <vt:lpwstr>EMA/793290/2015</vt:lpwstr>
  </property>
  <property fmtid="{D5CDD505-2E9C-101B-9397-08002B2CF9AE}" pid="12" name="DM_Category">
    <vt:lpwstr>General</vt:lpwstr>
  </property>
  <property fmtid="{D5CDD505-2E9C-101B-9397-08002B2CF9AE}" pid="13" name="DM_Path">
    <vt:lpwstr>/04. Inspections/1. GCP/GCP IWG/2. Meeting organisation/2015/11 30-02/Presentations/Presentations_30 11</vt:lpwstr>
  </property>
  <property fmtid="{D5CDD505-2E9C-101B-9397-08002B2CF9AE}" pid="14" name="DM_emea_doc_ref_id">
    <vt:lpwstr>EMA/793290/2015</vt:lpwstr>
  </property>
  <property fmtid="{D5CDD505-2E9C-101B-9397-08002B2CF9AE}" pid="15" name="DM_Modifer_Name">
    <vt:lpwstr>Gondro Mariola</vt:lpwstr>
  </property>
  <property fmtid="{D5CDD505-2E9C-101B-9397-08002B2CF9AE}" pid="16" name="DM_Modified_Date">
    <vt:lpwstr>25/11/2015 18:59:45</vt:lpwstr>
  </property>
  <property fmtid="{D5CDD505-2E9C-101B-9397-08002B2CF9AE}" pid="17"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18" name="bjDocumentLabelXML-0">
    <vt:lpwstr>nternal/label"&gt;&lt;element uid="9920fcc9-9f43-4d43-9e3e-b98a219cfd55" value="" /&gt;&lt;/sisl&gt;</vt:lpwstr>
  </property>
  <property fmtid="{D5CDD505-2E9C-101B-9397-08002B2CF9AE}" pid="19" name="bjDocumentSecurityLabel">
    <vt:lpwstr>Not Classified</vt:lpwstr>
  </property>
  <property fmtid="{D5CDD505-2E9C-101B-9397-08002B2CF9AE}" pid="20" name="_NewReviewCycle">
    <vt:lpwstr/>
  </property>
  <property fmtid="{D5CDD505-2E9C-101B-9397-08002B2CF9AE}" pid="21" name="MSIP_Label_72f367b5-aa87-493c-b598-c26cddaeb391_Enabled">
    <vt:lpwstr>true</vt:lpwstr>
  </property>
  <property fmtid="{D5CDD505-2E9C-101B-9397-08002B2CF9AE}" pid="22" name="MSIP_Label_72f367b5-aa87-493c-b598-c26cddaeb391_SetDate">
    <vt:lpwstr>2022-11-01T08:08:54Z</vt:lpwstr>
  </property>
  <property fmtid="{D5CDD505-2E9C-101B-9397-08002B2CF9AE}" pid="23" name="MSIP_Label_72f367b5-aa87-493c-b598-c26cddaeb391_Method">
    <vt:lpwstr>Privileged</vt:lpwstr>
  </property>
  <property fmtid="{D5CDD505-2E9C-101B-9397-08002B2CF9AE}" pid="24" name="MSIP_Label_72f367b5-aa87-493c-b598-c26cddaeb391_Name">
    <vt:lpwstr>NNIT Internal</vt:lpwstr>
  </property>
  <property fmtid="{D5CDD505-2E9C-101B-9397-08002B2CF9AE}" pid="25" name="MSIP_Label_72f367b5-aa87-493c-b598-c26cddaeb391_SiteId">
    <vt:lpwstr>eae82d0e-137d-4df8-ab74-34f582042d39</vt:lpwstr>
  </property>
  <property fmtid="{D5CDD505-2E9C-101B-9397-08002B2CF9AE}" pid="26" name="MSIP_Label_72f367b5-aa87-493c-b598-c26cddaeb391_ActionId">
    <vt:lpwstr>20ea4bde-bd04-4aa6-9708-598e56360680</vt:lpwstr>
  </property>
  <property fmtid="{D5CDD505-2E9C-101B-9397-08002B2CF9AE}" pid="27" name="MSIP_Label_72f367b5-aa87-493c-b598-c26cddaeb391_ContentBits">
    <vt:lpwstr>0</vt:lpwstr>
  </property>
</Properties>
</file>