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2B0239" w14:textId="77777777" w:rsidR="00010D39" w:rsidRDefault="00010D39"/>
    <w:p w14:paraId="350129C9" w14:textId="77777777" w:rsidR="0088557B" w:rsidRDefault="0088557B"/>
    <w:p w14:paraId="08ACDF23" w14:textId="77777777" w:rsidR="0088557B" w:rsidRPr="00E369C3" w:rsidRDefault="0088557B">
      <w:pPr>
        <w:rPr>
          <w:sz w:val="18"/>
          <w:szCs w:val="18"/>
        </w:rPr>
      </w:pPr>
    </w:p>
    <w:p w14:paraId="6AF8F065" w14:textId="77777777" w:rsidR="0088557B" w:rsidRPr="00E369C3" w:rsidRDefault="0088557B">
      <w:pPr>
        <w:rPr>
          <w:sz w:val="18"/>
          <w:szCs w:val="18"/>
        </w:rPr>
      </w:pPr>
    </w:p>
    <w:p w14:paraId="7CED0065" w14:textId="77777777" w:rsidR="0088557B" w:rsidRPr="00E369C3" w:rsidRDefault="0088557B" w:rsidP="0088557B">
      <w:pPr>
        <w:spacing w:before="120" w:after="0" w:line="110" w:lineRule="exact"/>
        <w:rPr>
          <w:sz w:val="7"/>
          <w:szCs w:val="7"/>
        </w:rPr>
      </w:pPr>
    </w:p>
    <w:p w14:paraId="14745B92" w14:textId="142C8722" w:rsidR="001A714B" w:rsidRPr="00E369C3" w:rsidRDefault="0A37BEB5" w:rsidP="153488E7">
      <w:pPr>
        <w:pStyle w:val="paragraph"/>
        <w:spacing w:before="0" w:beforeAutospacing="0" w:after="0" w:afterAutospacing="0"/>
        <w:ind w:left="90" w:right="-15"/>
        <w:jc w:val="center"/>
        <w:textAlignment w:val="baseline"/>
        <w:rPr>
          <w:rFonts w:ascii="Segoe UI" w:hAnsi="Segoe UI" w:cs="Segoe UI"/>
          <w:sz w:val="14"/>
          <w:szCs w:val="14"/>
        </w:rPr>
      </w:pPr>
      <w:r w:rsidRPr="153488E7">
        <w:rPr>
          <w:rStyle w:val="normaltextrun"/>
          <w:rFonts w:ascii="Calibri" w:hAnsi="Calibri" w:cs="Calibri"/>
          <w:i/>
          <w:iCs/>
          <w:sz w:val="32"/>
          <w:szCs w:val="32"/>
        </w:rPr>
        <w:t xml:space="preserve">21 </w:t>
      </w:r>
      <w:r w:rsidR="5C3122EA" w:rsidRPr="153488E7">
        <w:rPr>
          <w:rStyle w:val="normaltextrun"/>
          <w:rFonts w:ascii="Calibri" w:hAnsi="Calibri" w:cs="Calibri"/>
          <w:i/>
          <w:iCs/>
          <w:sz w:val="32"/>
          <w:szCs w:val="32"/>
        </w:rPr>
        <w:t>May 2026</w:t>
      </w:r>
      <w:r w:rsidR="001A714B" w:rsidRPr="153488E7">
        <w:rPr>
          <w:rStyle w:val="eop"/>
          <w:rFonts w:ascii="Calibri" w:hAnsi="Calibri" w:cs="Calibri"/>
          <w:sz w:val="32"/>
          <w:szCs w:val="32"/>
        </w:rPr>
        <w:t> </w:t>
      </w:r>
    </w:p>
    <w:p w14:paraId="4EE9B44C" w14:textId="77777777" w:rsidR="001A714B" w:rsidRPr="00E369C3" w:rsidRDefault="001A714B" w:rsidP="001A714B">
      <w:pPr>
        <w:pStyle w:val="paragraph"/>
        <w:spacing w:before="0" w:beforeAutospacing="0" w:after="0" w:afterAutospacing="0"/>
        <w:ind w:left="90" w:right="-15"/>
        <w:jc w:val="center"/>
        <w:textAlignment w:val="baseline"/>
        <w:rPr>
          <w:rFonts w:ascii="Segoe UI" w:hAnsi="Segoe UI" w:cs="Segoe UI"/>
          <w:sz w:val="14"/>
          <w:szCs w:val="14"/>
        </w:rPr>
      </w:pPr>
      <w:r w:rsidRPr="00E369C3">
        <w:rPr>
          <w:rStyle w:val="eop"/>
          <w:rFonts w:ascii="Calibri" w:hAnsi="Calibri" w:cs="Calibri"/>
          <w:sz w:val="32"/>
          <w:szCs w:val="32"/>
        </w:rPr>
        <w:t> </w:t>
      </w:r>
    </w:p>
    <w:p w14:paraId="76B6B3A7" w14:textId="77777777" w:rsidR="001A714B" w:rsidRPr="00E369C3" w:rsidRDefault="001A714B" w:rsidP="001A714B">
      <w:pPr>
        <w:pStyle w:val="paragraph"/>
        <w:spacing w:before="0" w:beforeAutospacing="0" w:after="0" w:afterAutospacing="0"/>
        <w:jc w:val="center"/>
        <w:textAlignment w:val="baseline"/>
        <w:rPr>
          <w:rFonts w:ascii="Segoe UI" w:hAnsi="Segoe UI" w:cs="Segoe UI"/>
          <w:color w:val="365F91"/>
          <w:sz w:val="14"/>
          <w:szCs w:val="14"/>
        </w:rPr>
      </w:pPr>
      <w:r w:rsidRPr="00E369C3">
        <w:rPr>
          <w:rStyle w:val="normaltextrun"/>
          <w:rFonts w:ascii="Calibri" w:hAnsi="Calibri" w:cs="Calibri"/>
          <w:sz w:val="32"/>
          <w:szCs w:val="32"/>
        </w:rPr>
        <w:t>Enhancing Clinical Trial Risk Assessment: </w:t>
      </w:r>
      <w:r w:rsidRPr="00E369C3">
        <w:rPr>
          <w:rStyle w:val="eop"/>
          <w:rFonts w:ascii="Calibri" w:hAnsi="Calibri" w:cs="Calibri"/>
          <w:sz w:val="32"/>
          <w:szCs w:val="32"/>
        </w:rPr>
        <w:t> </w:t>
      </w:r>
    </w:p>
    <w:p w14:paraId="5A170B06" w14:textId="77777777" w:rsidR="001A714B" w:rsidRPr="00E369C3" w:rsidRDefault="001A714B" w:rsidP="001A714B">
      <w:pPr>
        <w:pStyle w:val="paragraph"/>
        <w:spacing w:before="0" w:beforeAutospacing="0" w:after="0" w:afterAutospacing="0"/>
        <w:jc w:val="center"/>
        <w:textAlignment w:val="baseline"/>
        <w:rPr>
          <w:rFonts w:ascii="Segoe UI" w:hAnsi="Segoe UI" w:cs="Segoe UI"/>
          <w:color w:val="365F91"/>
          <w:sz w:val="14"/>
          <w:szCs w:val="14"/>
        </w:rPr>
      </w:pPr>
      <w:r w:rsidRPr="00E369C3">
        <w:rPr>
          <w:rStyle w:val="normaltextrun"/>
          <w:rFonts w:ascii="Calibri" w:hAnsi="Calibri" w:cs="Calibri"/>
          <w:sz w:val="32"/>
          <w:szCs w:val="32"/>
        </w:rPr>
        <w:t>From Compliance to Quality-driven Collaboration</w:t>
      </w:r>
      <w:r w:rsidRPr="00E369C3">
        <w:rPr>
          <w:rStyle w:val="eop"/>
          <w:rFonts w:ascii="Calibri" w:hAnsi="Calibri" w:cs="Calibri"/>
          <w:sz w:val="32"/>
          <w:szCs w:val="32"/>
        </w:rPr>
        <w:t> </w:t>
      </w:r>
    </w:p>
    <w:p w14:paraId="410EBAAC" w14:textId="77777777" w:rsidR="001A714B" w:rsidRPr="00E369C3" w:rsidRDefault="001A714B" w:rsidP="001A714B">
      <w:pPr>
        <w:pStyle w:val="paragraph"/>
        <w:spacing w:before="0" w:beforeAutospacing="0" w:after="0" w:afterAutospacing="0"/>
        <w:jc w:val="center"/>
        <w:textAlignment w:val="baseline"/>
        <w:rPr>
          <w:rFonts w:ascii="Segoe UI" w:hAnsi="Segoe UI" w:cs="Segoe UI"/>
          <w:color w:val="243F60"/>
          <w:sz w:val="14"/>
          <w:szCs w:val="14"/>
        </w:rPr>
      </w:pPr>
      <w:r w:rsidRPr="00E369C3">
        <w:rPr>
          <w:rStyle w:val="normaltextrun"/>
          <w:rFonts w:ascii="Calibri" w:hAnsi="Calibri" w:cs="Calibri"/>
          <w:i/>
          <w:iCs/>
        </w:rPr>
        <w:t>A PHUSE Risk Assessment Working Group Perspective</w:t>
      </w:r>
    </w:p>
    <w:p w14:paraId="19A66E82" w14:textId="1B151FDF" w:rsidR="002A5391" w:rsidRPr="00E369C3" w:rsidRDefault="002A5391" w:rsidP="002A5391">
      <w:pPr>
        <w:pStyle w:val="Heading3"/>
        <w:jc w:val="center"/>
      </w:pPr>
    </w:p>
    <w:p w14:paraId="2D861F99" w14:textId="77777777" w:rsidR="0088557B" w:rsidRPr="00E369C3" w:rsidRDefault="0088557B" w:rsidP="0088557B">
      <w:pPr>
        <w:tabs>
          <w:tab w:val="left" w:pos="1520"/>
        </w:tabs>
        <w:spacing w:before="120" w:after="0" w:line="264" w:lineRule="exact"/>
        <w:ind w:left="101" w:right="-14"/>
        <w:rPr>
          <w:rFonts w:eastAsia="Times New Roman" w:cstheme="minorHAnsi"/>
          <w:i/>
          <w:position w:val="1"/>
          <w:sz w:val="32"/>
          <w:szCs w:val="32"/>
        </w:rPr>
      </w:pPr>
    </w:p>
    <w:p w14:paraId="2BC4CABF" w14:textId="77777777" w:rsidR="008019FC" w:rsidRPr="00E369C3" w:rsidRDefault="008019FC" w:rsidP="008019FC">
      <w:pPr>
        <w:spacing w:after="0" w:line="240" w:lineRule="auto"/>
        <w:ind w:left="120" w:right="-20"/>
        <w:rPr>
          <w:rFonts w:ascii="Cambria" w:eastAsia="Cambria" w:hAnsi="Cambria" w:cs="Cambria"/>
          <w:sz w:val="18"/>
          <w:szCs w:val="18"/>
        </w:rPr>
      </w:pPr>
      <w:r w:rsidRPr="00E369C3">
        <w:rPr>
          <w:rFonts w:ascii="Cambria" w:eastAsia="Cambria" w:hAnsi="Cambria" w:cs="Cambria"/>
          <w:b/>
          <w:bCs/>
          <w:sz w:val="18"/>
          <w:szCs w:val="18"/>
        </w:rPr>
        <w:t>R</w:t>
      </w:r>
      <w:r w:rsidRPr="00E369C3">
        <w:rPr>
          <w:rFonts w:ascii="Cambria" w:eastAsia="Cambria" w:hAnsi="Cambria" w:cs="Cambria"/>
          <w:b/>
          <w:bCs/>
          <w:spacing w:val="1"/>
          <w:sz w:val="18"/>
          <w:szCs w:val="18"/>
        </w:rPr>
        <w:t>e</w:t>
      </w:r>
      <w:r w:rsidRPr="00E369C3">
        <w:rPr>
          <w:rFonts w:ascii="Cambria" w:eastAsia="Cambria" w:hAnsi="Cambria" w:cs="Cambria"/>
          <w:b/>
          <w:bCs/>
          <w:sz w:val="18"/>
          <w:szCs w:val="18"/>
        </w:rPr>
        <w:t>vi</w:t>
      </w:r>
      <w:r w:rsidRPr="00E369C3">
        <w:rPr>
          <w:rFonts w:ascii="Cambria" w:eastAsia="Cambria" w:hAnsi="Cambria" w:cs="Cambria"/>
          <w:b/>
          <w:bCs/>
          <w:spacing w:val="-1"/>
          <w:sz w:val="18"/>
          <w:szCs w:val="18"/>
        </w:rPr>
        <w:t>s</w:t>
      </w:r>
      <w:r w:rsidRPr="00E369C3">
        <w:rPr>
          <w:rFonts w:ascii="Cambria" w:eastAsia="Cambria" w:hAnsi="Cambria" w:cs="Cambria"/>
          <w:b/>
          <w:bCs/>
          <w:sz w:val="18"/>
          <w:szCs w:val="18"/>
        </w:rPr>
        <w:t>i</w:t>
      </w:r>
      <w:r w:rsidRPr="00E369C3">
        <w:rPr>
          <w:rFonts w:ascii="Cambria" w:eastAsia="Cambria" w:hAnsi="Cambria" w:cs="Cambria"/>
          <w:b/>
          <w:bCs/>
          <w:spacing w:val="-3"/>
          <w:sz w:val="18"/>
          <w:szCs w:val="18"/>
        </w:rPr>
        <w:t>o</w:t>
      </w:r>
      <w:r w:rsidRPr="00E369C3">
        <w:rPr>
          <w:rFonts w:ascii="Cambria" w:eastAsia="Cambria" w:hAnsi="Cambria" w:cs="Cambria"/>
          <w:b/>
          <w:bCs/>
          <w:sz w:val="18"/>
          <w:szCs w:val="18"/>
        </w:rPr>
        <w:t>n</w:t>
      </w:r>
      <w:r w:rsidRPr="00E369C3">
        <w:rPr>
          <w:rFonts w:ascii="Cambria" w:eastAsia="Cambria" w:hAnsi="Cambria" w:cs="Cambria"/>
          <w:b/>
          <w:bCs/>
          <w:spacing w:val="1"/>
          <w:sz w:val="18"/>
          <w:szCs w:val="18"/>
        </w:rPr>
        <w:t xml:space="preserve"> </w:t>
      </w:r>
      <w:r w:rsidRPr="00E369C3">
        <w:rPr>
          <w:rFonts w:ascii="Cambria" w:eastAsia="Cambria" w:hAnsi="Cambria" w:cs="Cambria"/>
          <w:b/>
          <w:bCs/>
          <w:spacing w:val="-1"/>
          <w:sz w:val="18"/>
          <w:szCs w:val="18"/>
        </w:rPr>
        <w:t>H</w:t>
      </w:r>
      <w:r w:rsidRPr="00E369C3">
        <w:rPr>
          <w:rFonts w:ascii="Cambria" w:eastAsia="Cambria" w:hAnsi="Cambria" w:cs="Cambria"/>
          <w:b/>
          <w:bCs/>
          <w:sz w:val="18"/>
          <w:szCs w:val="18"/>
        </w:rPr>
        <w:t>i</w:t>
      </w:r>
      <w:r w:rsidRPr="00E369C3">
        <w:rPr>
          <w:rFonts w:ascii="Cambria" w:eastAsia="Cambria" w:hAnsi="Cambria" w:cs="Cambria"/>
          <w:b/>
          <w:bCs/>
          <w:spacing w:val="-1"/>
          <w:sz w:val="18"/>
          <w:szCs w:val="18"/>
        </w:rPr>
        <w:t>s</w:t>
      </w:r>
      <w:r w:rsidRPr="00E369C3">
        <w:rPr>
          <w:rFonts w:ascii="Cambria" w:eastAsia="Cambria" w:hAnsi="Cambria" w:cs="Cambria"/>
          <w:b/>
          <w:bCs/>
          <w:spacing w:val="1"/>
          <w:sz w:val="18"/>
          <w:szCs w:val="18"/>
        </w:rPr>
        <w:t>t</w:t>
      </w:r>
      <w:r w:rsidRPr="00E369C3">
        <w:rPr>
          <w:rFonts w:ascii="Cambria" w:eastAsia="Cambria" w:hAnsi="Cambria" w:cs="Cambria"/>
          <w:b/>
          <w:bCs/>
          <w:spacing w:val="-1"/>
          <w:sz w:val="18"/>
          <w:szCs w:val="18"/>
        </w:rPr>
        <w:t>or</w:t>
      </w:r>
      <w:r w:rsidRPr="00E369C3">
        <w:rPr>
          <w:rFonts w:ascii="Cambria" w:eastAsia="Cambria" w:hAnsi="Cambria" w:cs="Cambria"/>
          <w:b/>
          <w:bCs/>
          <w:sz w:val="18"/>
          <w:szCs w:val="18"/>
        </w:rPr>
        <w:t>y</w:t>
      </w:r>
    </w:p>
    <w:tbl>
      <w:tblPr>
        <w:tblW w:w="0" w:type="auto"/>
        <w:tblInd w:w="109" w:type="dxa"/>
        <w:tblLayout w:type="fixed"/>
        <w:tblCellMar>
          <w:left w:w="0" w:type="dxa"/>
          <w:right w:w="0" w:type="dxa"/>
        </w:tblCellMar>
        <w:tblLook w:val="01E0" w:firstRow="1" w:lastRow="1" w:firstColumn="1" w:lastColumn="1" w:noHBand="0" w:noVBand="0"/>
      </w:tblPr>
      <w:tblGrid>
        <w:gridCol w:w="1236"/>
        <w:gridCol w:w="1350"/>
        <w:gridCol w:w="6145"/>
      </w:tblGrid>
      <w:tr w:rsidR="008019FC" w:rsidRPr="00E369C3" w14:paraId="20A29E3E" w14:textId="77777777" w:rsidTr="153488E7">
        <w:trPr>
          <w:trHeight w:hRule="exact" w:val="266"/>
        </w:trPr>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C1C1"/>
          </w:tcPr>
          <w:p w14:paraId="37A2BB9B" w14:textId="77777777" w:rsidR="008019FC" w:rsidRPr="00E369C3" w:rsidRDefault="008019FC" w:rsidP="00F460DF">
            <w:pPr>
              <w:spacing w:after="0" w:line="255" w:lineRule="exact"/>
              <w:ind w:left="102" w:right="-20"/>
              <w:rPr>
                <w:rFonts w:ascii="Cambria" w:eastAsia="Cambria" w:hAnsi="Cambria" w:cs="Cambria"/>
                <w:sz w:val="18"/>
                <w:szCs w:val="18"/>
              </w:rPr>
            </w:pPr>
            <w:r w:rsidRPr="00E369C3">
              <w:rPr>
                <w:rFonts w:ascii="Cambria" w:eastAsia="Cambria" w:hAnsi="Cambria" w:cs="Cambria"/>
                <w:b/>
                <w:bCs/>
                <w:sz w:val="18"/>
                <w:szCs w:val="18"/>
              </w:rPr>
              <w:t>Version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C1C1"/>
          </w:tcPr>
          <w:p w14:paraId="79040851" w14:textId="77777777" w:rsidR="008019FC" w:rsidRPr="00E369C3" w:rsidRDefault="008019FC" w:rsidP="00F460DF">
            <w:pPr>
              <w:spacing w:after="0" w:line="255" w:lineRule="exact"/>
              <w:ind w:right="-20"/>
              <w:rPr>
                <w:rFonts w:ascii="Cambria" w:eastAsia="Cambria" w:hAnsi="Cambria" w:cs="Cambria"/>
                <w:sz w:val="18"/>
                <w:szCs w:val="18"/>
              </w:rPr>
            </w:pPr>
            <w:r w:rsidRPr="00E369C3">
              <w:rPr>
                <w:rFonts w:ascii="Cambria" w:eastAsia="Cambria" w:hAnsi="Cambria" w:cs="Cambria"/>
                <w:b/>
                <w:bCs/>
                <w:spacing w:val="-1"/>
                <w:sz w:val="18"/>
                <w:szCs w:val="18"/>
              </w:rPr>
              <w:t xml:space="preserve"> Date</w:t>
            </w:r>
          </w:p>
        </w:tc>
        <w:tc>
          <w:tcPr>
            <w:tcW w:w="6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C1C1"/>
          </w:tcPr>
          <w:p w14:paraId="2ABFF18E" w14:textId="77777777" w:rsidR="008019FC" w:rsidRPr="00E369C3" w:rsidRDefault="008019FC" w:rsidP="00F460DF">
            <w:pPr>
              <w:spacing w:after="0" w:line="255" w:lineRule="exact"/>
              <w:ind w:left="100" w:right="-20"/>
              <w:rPr>
                <w:rFonts w:ascii="Cambria" w:eastAsia="Cambria" w:hAnsi="Cambria" w:cs="Cambria"/>
                <w:sz w:val="18"/>
                <w:szCs w:val="18"/>
              </w:rPr>
            </w:pPr>
            <w:r w:rsidRPr="00E369C3">
              <w:rPr>
                <w:rFonts w:ascii="Cambria" w:eastAsia="Cambria" w:hAnsi="Cambria" w:cs="Cambria"/>
                <w:b/>
                <w:bCs/>
                <w:sz w:val="18"/>
                <w:szCs w:val="18"/>
              </w:rPr>
              <w:t>Summ</w:t>
            </w:r>
            <w:r w:rsidRPr="00E369C3">
              <w:rPr>
                <w:rFonts w:ascii="Cambria" w:eastAsia="Cambria" w:hAnsi="Cambria" w:cs="Cambria"/>
                <w:b/>
                <w:bCs/>
                <w:spacing w:val="-1"/>
                <w:sz w:val="18"/>
                <w:szCs w:val="18"/>
              </w:rPr>
              <w:t>ar</w:t>
            </w:r>
            <w:r w:rsidRPr="00E369C3">
              <w:rPr>
                <w:rFonts w:ascii="Cambria" w:eastAsia="Cambria" w:hAnsi="Cambria" w:cs="Cambria"/>
                <w:b/>
                <w:bCs/>
                <w:sz w:val="18"/>
                <w:szCs w:val="18"/>
              </w:rPr>
              <w:t>y</w:t>
            </w:r>
          </w:p>
        </w:tc>
      </w:tr>
      <w:tr w:rsidR="008019FC" w:rsidRPr="00E369C3" w14:paraId="5DBCD8FB" w14:textId="77777777" w:rsidTr="153488E7">
        <w:trPr>
          <w:trHeight w:hRule="exact" w:val="624"/>
        </w:trPr>
        <w:tc>
          <w:tcPr>
            <w:tcW w:w="1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D7935" w14:textId="57DCB62D" w:rsidR="008019FC" w:rsidRPr="00E369C3" w:rsidRDefault="00090577" w:rsidP="00F460DF">
            <w:pPr>
              <w:spacing w:after="0" w:line="257" w:lineRule="exact"/>
              <w:ind w:left="102" w:right="-20"/>
              <w:rPr>
                <w:rFonts w:ascii="Cambria" w:eastAsia="Cambria" w:hAnsi="Cambria" w:cs="Cambria"/>
                <w:sz w:val="18"/>
                <w:szCs w:val="18"/>
              </w:rPr>
            </w:pPr>
            <w:r w:rsidRPr="153488E7">
              <w:rPr>
                <w:rFonts w:ascii="Cambria" w:eastAsia="Cambria" w:hAnsi="Cambria" w:cs="Cambria"/>
                <w:sz w:val="18"/>
                <w:szCs w:val="18"/>
              </w:rPr>
              <w:t>0.</w:t>
            </w:r>
            <w:r w:rsidR="29CDF5FE" w:rsidRPr="153488E7">
              <w:rPr>
                <w:rFonts w:ascii="Cambria" w:eastAsia="Cambria" w:hAnsi="Cambria" w:cs="Cambria"/>
                <w:sz w:val="18"/>
                <w:szCs w:val="18"/>
              </w:rPr>
              <w:t>5</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FA113" w14:textId="092180DE" w:rsidR="008019FC" w:rsidRPr="00E369C3" w:rsidRDefault="55DD2B4D" w:rsidP="153488E7">
            <w:pPr>
              <w:spacing w:after="0" w:line="257" w:lineRule="exact"/>
              <w:ind w:left="102" w:right="-20"/>
            </w:pPr>
            <w:r w:rsidRPr="153488E7">
              <w:rPr>
                <w:rFonts w:ascii="Cambria" w:eastAsia="Cambria" w:hAnsi="Cambria" w:cs="Cambria"/>
                <w:sz w:val="18"/>
                <w:szCs w:val="18"/>
              </w:rPr>
              <w:t>21May2026</w:t>
            </w:r>
          </w:p>
        </w:tc>
        <w:tc>
          <w:tcPr>
            <w:tcW w:w="6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31FEF" w14:textId="78A66076" w:rsidR="008019FC" w:rsidRPr="00E369C3" w:rsidRDefault="00090577" w:rsidP="008019FC">
            <w:pPr>
              <w:spacing w:after="0" w:line="257" w:lineRule="exact"/>
              <w:ind w:right="-20"/>
              <w:rPr>
                <w:rFonts w:ascii="Cambria" w:eastAsia="Cambria" w:hAnsi="Cambria" w:cs="Cambria"/>
                <w:sz w:val="18"/>
                <w:szCs w:val="18"/>
              </w:rPr>
            </w:pPr>
            <w:r w:rsidRPr="153488E7">
              <w:rPr>
                <w:rFonts w:ascii="Cambria" w:eastAsia="Cambria" w:hAnsi="Cambria" w:cs="Cambria"/>
                <w:sz w:val="18"/>
                <w:szCs w:val="18"/>
              </w:rPr>
              <w:t xml:space="preserve">Draft for </w:t>
            </w:r>
            <w:r w:rsidR="7642E52B" w:rsidRPr="153488E7">
              <w:rPr>
                <w:rFonts w:ascii="Cambria" w:eastAsia="Cambria" w:hAnsi="Cambria" w:cs="Cambria"/>
                <w:sz w:val="18"/>
                <w:szCs w:val="18"/>
              </w:rPr>
              <w:t xml:space="preserve">peer </w:t>
            </w:r>
            <w:r w:rsidRPr="153488E7">
              <w:rPr>
                <w:rFonts w:ascii="Cambria" w:eastAsia="Cambria" w:hAnsi="Cambria" w:cs="Cambria"/>
                <w:sz w:val="18"/>
                <w:szCs w:val="18"/>
              </w:rPr>
              <w:t>review</w:t>
            </w:r>
          </w:p>
        </w:tc>
      </w:tr>
    </w:tbl>
    <w:p w14:paraId="0D7708DA" w14:textId="77777777" w:rsidR="0088557B" w:rsidRPr="00E369C3" w:rsidRDefault="0088557B" w:rsidP="0088557B">
      <w:pPr>
        <w:tabs>
          <w:tab w:val="left" w:pos="1520"/>
        </w:tabs>
        <w:spacing w:before="120" w:after="0" w:line="264" w:lineRule="exact"/>
        <w:ind w:left="101" w:right="-14"/>
        <w:rPr>
          <w:rFonts w:eastAsia="Times New Roman" w:cstheme="minorHAnsi"/>
          <w:position w:val="1"/>
          <w:sz w:val="32"/>
          <w:szCs w:val="32"/>
        </w:rPr>
      </w:pPr>
    </w:p>
    <w:p w14:paraId="2A9B45A0" w14:textId="77777777" w:rsidR="0088557B" w:rsidRPr="00E369C3" w:rsidRDefault="0088557B" w:rsidP="0088557B">
      <w:pPr>
        <w:tabs>
          <w:tab w:val="left" w:pos="1520"/>
        </w:tabs>
        <w:spacing w:before="120" w:after="0" w:line="264" w:lineRule="exact"/>
        <w:ind w:left="101" w:right="-14"/>
        <w:rPr>
          <w:rFonts w:eastAsia="Times New Roman" w:cstheme="minorHAnsi"/>
          <w:i/>
          <w:position w:val="1"/>
          <w:sz w:val="32"/>
          <w:szCs w:val="32"/>
        </w:rPr>
      </w:pPr>
      <w:r w:rsidRPr="00E369C3">
        <w:rPr>
          <w:rFonts w:eastAsia="Times New Roman" w:cstheme="minorHAnsi"/>
          <w:i/>
          <w:position w:val="1"/>
          <w:sz w:val="32"/>
          <w:szCs w:val="32"/>
        </w:rPr>
        <w:tab/>
      </w:r>
      <w:r w:rsidRPr="00E369C3">
        <w:rPr>
          <w:rFonts w:eastAsia="Times New Roman" w:cstheme="minorHAnsi"/>
          <w:i/>
          <w:position w:val="1"/>
          <w:sz w:val="32"/>
          <w:szCs w:val="32"/>
        </w:rPr>
        <w:tab/>
      </w:r>
      <w:r w:rsidRPr="00E369C3">
        <w:rPr>
          <w:rFonts w:eastAsia="Times New Roman" w:cstheme="minorHAnsi"/>
          <w:i/>
          <w:position w:val="1"/>
          <w:sz w:val="32"/>
          <w:szCs w:val="32"/>
        </w:rPr>
        <w:tab/>
      </w:r>
      <w:r w:rsidRPr="00E369C3">
        <w:rPr>
          <w:rFonts w:eastAsia="Times New Roman" w:cstheme="minorHAnsi"/>
          <w:i/>
          <w:position w:val="1"/>
          <w:sz w:val="32"/>
          <w:szCs w:val="32"/>
        </w:rPr>
        <w:tab/>
      </w:r>
      <w:r w:rsidRPr="00E369C3">
        <w:rPr>
          <w:rFonts w:eastAsia="Times New Roman" w:cstheme="minorHAnsi"/>
          <w:i/>
          <w:position w:val="1"/>
          <w:sz w:val="32"/>
          <w:szCs w:val="32"/>
        </w:rPr>
        <w:tab/>
      </w:r>
      <w:r w:rsidRPr="00E369C3">
        <w:rPr>
          <w:rFonts w:eastAsia="Times New Roman" w:cstheme="minorHAnsi"/>
          <w:i/>
          <w:position w:val="1"/>
          <w:sz w:val="32"/>
          <w:szCs w:val="32"/>
        </w:rPr>
        <w:tab/>
      </w:r>
      <w:r w:rsidRPr="00E369C3">
        <w:rPr>
          <w:rFonts w:eastAsia="Times New Roman" w:cstheme="minorHAnsi"/>
          <w:i/>
          <w:position w:val="1"/>
          <w:sz w:val="32"/>
          <w:szCs w:val="32"/>
        </w:rPr>
        <w:tab/>
      </w:r>
      <w:r w:rsidRPr="00E369C3">
        <w:rPr>
          <w:rFonts w:eastAsia="Times New Roman" w:cstheme="minorHAnsi"/>
          <w:i/>
          <w:position w:val="1"/>
          <w:sz w:val="32"/>
          <w:szCs w:val="32"/>
        </w:rPr>
        <w:tab/>
      </w:r>
      <w:r w:rsidRPr="00E369C3">
        <w:rPr>
          <w:rFonts w:eastAsia="Times New Roman" w:cstheme="minorHAnsi"/>
          <w:i/>
          <w:position w:val="1"/>
          <w:sz w:val="32"/>
          <w:szCs w:val="32"/>
        </w:rPr>
        <w:tab/>
      </w:r>
      <w:r w:rsidRPr="00E369C3">
        <w:rPr>
          <w:rFonts w:eastAsia="Times New Roman" w:cstheme="minorHAnsi"/>
          <w:i/>
          <w:position w:val="1"/>
          <w:sz w:val="32"/>
          <w:szCs w:val="32"/>
        </w:rPr>
        <w:tab/>
      </w:r>
    </w:p>
    <w:p w14:paraId="7B663B73" w14:textId="77777777" w:rsidR="00DA5326" w:rsidRPr="00E369C3" w:rsidRDefault="00DA5326" w:rsidP="0088557B">
      <w:pPr>
        <w:ind w:left="2160" w:firstLine="720"/>
        <w:rPr>
          <w:sz w:val="18"/>
          <w:szCs w:val="18"/>
        </w:rPr>
      </w:pPr>
    </w:p>
    <w:p w14:paraId="1C039A20" w14:textId="77777777" w:rsidR="00DA5326" w:rsidRPr="00E369C3" w:rsidRDefault="00DA5326" w:rsidP="0088557B">
      <w:pPr>
        <w:ind w:left="2160" w:firstLine="720"/>
        <w:rPr>
          <w:sz w:val="18"/>
          <w:szCs w:val="18"/>
        </w:rPr>
      </w:pPr>
    </w:p>
    <w:p w14:paraId="513C6E1A" w14:textId="77777777" w:rsidR="00DA5326" w:rsidRPr="00E369C3" w:rsidRDefault="00DA5326" w:rsidP="0088557B">
      <w:pPr>
        <w:ind w:left="2160" w:firstLine="720"/>
        <w:rPr>
          <w:sz w:val="18"/>
          <w:szCs w:val="18"/>
        </w:rPr>
      </w:pPr>
    </w:p>
    <w:p w14:paraId="1658C94B" w14:textId="77777777" w:rsidR="00DA5326" w:rsidRPr="00E369C3" w:rsidRDefault="00DA5326" w:rsidP="0088557B">
      <w:pPr>
        <w:ind w:left="2160" w:firstLine="720"/>
        <w:rPr>
          <w:sz w:val="18"/>
          <w:szCs w:val="18"/>
        </w:rPr>
      </w:pPr>
    </w:p>
    <w:p w14:paraId="672F00A9" w14:textId="77777777" w:rsidR="00DA5326" w:rsidRPr="00E369C3" w:rsidRDefault="00DA5326" w:rsidP="0088557B">
      <w:pPr>
        <w:ind w:left="2160" w:firstLine="720"/>
        <w:rPr>
          <w:sz w:val="18"/>
          <w:szCs w:val="18"/>
        </w:rPr>
      </w:pPr>
    </w:p>
    <w:p w14:paraId="11393900" w14:textId="77777777" w:rsidR="00DA5326" w:rsidRPr="00E369C3" w:rsidRDefault="00DA5326" w:rsidP="0088557B">
      <w:pPr>
        <w:ind w:left="2160" w:firstLine="720"/>
        <w:rPr>
          <w:sz w:val="18"/>
          <w:szCs w:val="18"/>
        </w:rPr>
      </w:pPr>
    </w:p>
    <w:p w14:paraId="309F7726" w14:textId="77777777" w:rsidR="00B96054" w:rsidRPr="00E369C3" w:rsidRDefault="00B96054" w:rsidP="0088557B">
      <w:pPr>
        <w:ind w:left="2160" w:firstLine="720"/>
        <w:rPr>
          <w:sz w:val="18"/>
          <w:szCs w:val="18"/>
        </w:rPr>
      </w:pPr>
    </w:p>
    <w:p w14:paraId="70AABA21" w14:textId="77777777" w:rsidR="00B96054" w:rsidRDefault="00B96054" w:rsidP="0088557B">
      <w:pPr>
        <w:ind w:left="2160" w:firstLine="720"/>
        <w:rPr>
          <w:sz w:val="18"/>
          <w:szCs w:val="18"/>
        </w:rPr>
      </w:pPr>
    </w:p>
    <w:p w14:paraId="1A74B5B0" w14:textId="77D4C435" w:rsidR="40CF7001" w:rsidRDefault="40CF7001" w:rsidP="40CF7001">
      <w:pPr>
        <w:ind w:left="2160" w:firstLine="720"/>
        <w:rPr>
          <w:sz w:val="18"/>
          <w:szCs w:val="18"/>
        </w:rPr>
      </w:pPr>
    </w:p>
    <w:p w14:paraId="07C6A562" w14:textId="18771C61" w:rsidR="40CF7001" w:rsidRDefault="40CF7001" w:rsidP="40CF7001">
      <w:pPr>
        <w:ind w:left="2160" w:firstLine="720"/>
        <w:rPr>
          <w:sz w:val="18"/>
          <w:szCs w:val="18"/>
        </w:rPr>
      </w:pPr>
    </w:p>
    <w:p w14:paraId="5A191034" w14:textId="77777777" w:rsidR="00190925" w:rsidRPr="00E369C3" w:rsidRDefault="00190925" w:rsidP="0088557B">
      <w:pPr>
        <w:ind w:left="2160" w:firstLine="720"/>
        <w:rPr>
          <w:sz w:val="18"/>
          <w:szCs w:val="18"/>
        </w:rPr>
      </w:pPr>
    </w:p>
    <w:p w14:paraId="34641424" w14:textId="77777777" w:rsidR="00E369C3" w:rsidRDefault="00E369C3" w:rsidP="00E369C3">
      <w:pPr>
        <w:pStyle w:val="Heading1"/>
        <w:spacing w:before="0"/>
        <w:rPr>
          <w:sz w:val="22"/>
          <w:szCs w:val="22"/>
        </w:rPr>
      </w:pPr>
    </w:p>
    <w:p w14:paraId="5AC1B86E" w14:textId="77777777" w:rsidR="00E369C3" w:rsidRPr="00E369C3" w:rsidRDefault="00E369C3" w:rsidP="00E369C3"/>
    <w:p w14:paraId="509FD4E7" w14:textId="0E3C24FF" w:rsidR="00DA5326" w:rsidRPr="00E369C3" w:rsidRDefault="00303464" w:rsidP="00E369C3">
      <w:pPr>
        <w:pStyle w:val="Heading1"/>
        <w:spacing w:before="0"/>
        <w:rPr>
          <w:sz w:val="22"/>
          <w:szCs w:val="22"/>
        </w:rPr>
      </w:pPr>
      <w:r w:rsidRPr="00E369C3">
        <w:rPr>
          <w:sz w:val="22"/>
          <w:szCs w:val="22"/>
        </w:rPr>
        <w:lastRenderedPageBreak/>
        <w:t xml:space="preserve">1: </w:t>
      </w:r>
      <w:r w:rsidR="00DA5326" w:rsidRPr="00E369C3">
        <w:rPr>
          <w:sz w:val="22"/>
          <w:szCs w:val="22"/>
        </w:rPr>
        <w:t>Overview: Purpose of this document</w:t>
      </w:r>
    </w:p>
    <w:p w14:paraId="6991CBF7" w14:textId="58EE8C43" w:rsidR="002325D5" w:rsidRPr="002325D5" w:rsidRDefault="002325D5" w:rsidP="002325D5">
      <w:pPr>
        <w:rPr>
          <w:rFonts w:ascii="Aptos" w:hAnsi="Aptos"/>
          <w:sz w:val="20"/>
          <w:szCs w:val="20"/>
        </w:rPr>
      </w:pPr>
      <w:r w:rsidRPr="002325D5">
        <w:rPr>
          <w:rFonts w:ascii="Aptos" w:hAnsi="Aptos"/>
          <w:sz w:val="20"/>
          <w:szCs w:val="20"/>
        </w:rPr>
        <w:t>Risk assessment is often called the backbone of quality management in clinical research</w:t>
      </w:r>
      <w:r w:rsidR="008271D7">
        <w:rPr>
          <w:rFonts w:ascii="Aptos" w:hAnsi="Aptos"/>
          <w:sz w:val="20"/>
          <w:szCs w:val="20"/>
        </w:rPr>
        <w:t>,</w:t>
      </w:r>
      <w:r w:rsidRPr="002325D5">
        <w:rPr>
          <w:rFonts w:ascii="Aptos" w:hAnsi="Aptos"/>
          <w:sz w:val="20"/>
          <w:szCs w:val="20"/>
        </w:rPr>
        <w:t xml:space="preserve"> but in practice, it frequently falls short. Many</w:t>
      </w:r>
      <w:r w:rsidR="00D12428" w:rsidRPr="00E369C3">
        <w:rPr>
          <w:rFonts w:ascii="Aptos" w:hAnsi="Aptos"/>
          <w:sz w:val="20"/>
          <w:szCs w:val="20"/>
        </w:rPr>
        <w:t xml:space="preserve"> </w:t>
      </w:r>
      <w:r w:rsidRPr="002325D5">
        <w:rPr>
          <w:rFonts w:ascii="Aptos" w:hAnsi="Aptos"/>
          <w:sz w:val="20"/>
          <w:szCs w:val="20"/>
        </w:rPr>
        <w:t>risk assessment meetings feel procedural, not purposeful. Others become transformative conversations where diverse perspectives surface hidden risks, clarify priorities, and strengthen trust across teams. These differences are not just stylistic; they directly impact the quality and reliability of clinical trials. </w:t>
      </w:r>
    </w:p>
    <w:p w14:paraId="194AA3FD" w14:textId="3EC6E77A" w:rsidR="002325D5" w:rsidRPr="002325D5" w:rsidRDefault="002325D5" w:rsidP="002325D5">
      <w:pPr>
        <w:rPr>
          <w:rFonts w:ascii="Aptos" w:hAnsi="Aptos"/>
          <w:sz w:val="20"/>
          <w:szCs w:val="20"/>
        </w:rPr>
      </w:pPr>
      <w:r w:rsidRPr="002325D5">
        <w:rPr>
          <w:rFonts w:ascii="Aptos" w:hAnsi="Aptos"/>
          <w:sz w:val="20"/>
          <w:szCs w:val="20"/>
        </w:rPr>
        <w:t>The PHUSE Risk Assessment Working Group formed to explore this gap between intent and execution. Our group include</w:t>
      </w:r>
      <w:r w:rsidR="005240B2">
        <w:rPr>
          <w:rFonts w:ascii="Aptos" w:hAnsi="Aptos"/>
          <w:sz w:val="20"/>
          <w:szCs w:val="20"/>
        </w:rPr>
        <w:t>s</w:t>
      </w:r>
      <w:r w:rsidRPr="002325D5">
        <w:rPr>
          <w:rFonts w:ascii="Aptos" w:hAnsi="Aptos"/>
          <w:sz w:val="20"/>
          <w:szCs w:val="20"/>
        </w:rPr>
        <w:t xml:space="preserve"> sponsors, CROs, technology providers, and academic partners- people with diverse perspectives but one shared goal: making risk assessment work. Drawing from candid discussions, surveys, and lived experience, we sought to answer three questions: </w:t>
      </w:r>
    </w:p>
    <w:p w14:paraId="5F81F1E8" w14:textId="77777777" w:rsidR="002325D5" w:rsidRPr="002325D5" w:rsidRDefault="002325D5" w:rsidP="002325D5">
      <w:pPr>
        <w:numPr>
          <w:ilvl w:val="0"/>
          <w:numId w:val="12"/>
        </w:numPr>
        <w:rPr>
          <w:rFonts w:ascii="Aptos" w:hAnsi="Aptos"/>
          <w:sz w:val="20"/>
          <w:szCs w:val="20"/>
        </w:rPr>
      </w:pPr>
      <w:r w:rsidRPr="002325D5">
        <w:rPr>
          <w:rFonts w:ascii="Aptos" w:hAnsi="Aptos"/>
          <w:sz w:val="20"/>
          <w:szCs w:val="20"/>
        </w:rPr>
        <w:t>What makes a risk assessment meaningful? </w:t>
      </w:r>
    </w:p>
    <w:p w14:paraId="172A38AF" w14:textId="77777777" w:rsidR="002325D5" w:rsidRPr="002325D5" w:rsidRDefault="002325D5" w:rsidP="002325D5">
      <w:pPr>
        <w:numPr>
          <w:ilvl w:val="0"/>
          <w:numId w:val="13"/>
        </w:numPr>
        <w:rPr>
          <w:rFonts w:ascii="Aptos" w:hAnsi="Aptos"/>
          <w:sz w:val="20"/>
          <w:szCs w:val="20"/>
        </w:rPr>
      </w:pPr>
      <w:r w:rsidRPr="002325D5">
        <w:rPr>
          <w:rFonts w:ascii="Aptos" w:hAnsi="Aptos"/>
          <w:sz w:val="20"/>
          <w:szCs w:val="20"/>
        </w:rPr>
        <w:t>What gets in its way? </w:t>
      </w:r>
    </w:p>
    <w:p w14:paraId="49CD5E86" w14:textId="77777777" w:rsidR="002325D5" w:rsidRPr="002325D5" w:rsidRDefault="002325D5" w:rsidP="002325D5">
      <w:pPr>
        <w:numPr>
          <w:ilvl w:val="0"/>
          <w:numId w:val="14"/>
        </w:numPr>
        <w:rPr>
          <w:rFonts w:ascii="Aptos" w:hAnsi="Aptos"/>
          <w:sz w:val="20"/>
          <w:szCs w:val="20"/>
        </w:rPr>
      </w:pPr>
      <w:r w:rsidRPr="002325D5">
        <w:rPr>
          <w:rFonts w:ascii="Aptos" w:hAnsi="Aptos"/>
          <w:sz w:val="20"/>
          <w:szCs w:val="20"/>
        </w:rPr>
        <w:t>How can we embed proportionate, actionable quality thinking effectively and consistently across organizations? </w:t>
      </w:r>
    </w:p>
    <w:p w14:paraId="380C24DF" w14:textId="77777777" w:rsidR="000D0988" w:rsidRPr="000D0988" w:rsidRDefault="002325D5" w:rsidP="000D0988">
      <w:pPr>
        <w:rPr>
          <w:rFonts w:ascii="Aptos" w:hAnsi="Aptos"/>
          <w:sz w:val="20"/>
          <w:szCs w:val="20"/>
        </w:rPr>
      </w:pPr>
      <w:r w:rsidRPr="002325D5">
        <w:rPr>
          <w:rFonts w:ascii="Aptos" w:hAnsi="Aptos"/>
          <w:sz w:val="20"/>
          <w:szCs w:val="20"/>
        </w:rPr>
        <w:t> Our goal is practical: to translate ICH E6 (R3) and E8 (R1) expectations into approaches teams can execute with confidence, proportionality, and critical thought. We aim to move beyond compliance to promote a culture where risk assessment is a shared, strategic conversation that drives quality by design throughout the trial. </w:t>
      </w:r>
      <w:r w:rsidR="000D0988" w:rsidRPr="000D0988">
        <w:rPr>
          <w:rFonts w:ascii="Aptos" w:hAnsi="Aptos"/>
          <w:sz w:val="20"/>
          <w:szCs w:val="20"/>
        </w:rPr>
        <w:t>To support consistent application, we provide advisory guidance through pro-tips that illustrate practical approaches for translating principles into effective practice.</w:t>
      </w:r>
    </w:p>
    <w:p w14:paraId="5B088844" w14:textId="44EF4691" w:rsidR="00DE7E96" w:rsidRPr="00E369C3" w:rsidRDefault="00303464" w:rsidP="000D0988">
      <w:pPr>
        <w:rPr>
          <w:b/>
          <w:bCs/>
          <w:color w:val="365F91" w:themeColor="accent1" w:themeShade="BF"/>
        </w:rPr>
      </w:pPr>
      <w:r w:rsidRPr="00E369C3">
        <w:rPr>
          <w:b/>
          <w:bCs/>
          <w:color w:val="365F91" w:themeColor="accent1" w:themeShade="BF"/>
        </w:rPr>
        <w:t xml:space="preserve">2: </w:t>
      </w:r>
      <w:r w:rsidR="00DE7E96" w:rsidRPr="00E369C3">
        <w:rPr>
          <w:b/>
          <w:bCs/>
          <w:color w:val="365F91" w:themeColor="accent1" w:themeShade="BF"/>
        </w:rPr>
        <w:t>The Six-Step Process for Effective Risk Assessment</w:t>
      </w:r>
    </w:p>
    <w:p w14:paraId="32159D2A" w14:textId="77777777" w:rsidR="00246705" w:rsidRDefault="003944B7" w:rsidP="00246705">
      <w:pPr>
        <w:rPr>
          <w:rFonts w:ascii="Aptos" w:hAnsi="Aptos"/>
          <w:sz w:val="20"/>
          <w:szCs w:val="20"/>
        </w:rPr>
      </w:pPr>
      <w:r w:rsidRPr="153488E7">
        <w:rPr>
          <w:rFonts w:ascii="Aptos" w:hAnsi="Aptos"/>
          <w:sz w:val="20"/>
          <w:szCs w:val="20"/>
        </w:rPr>
        <w:t xml:space="preserve">The group aligned on a six-step model that connects purpose to practice across the study </w:t>
      </w:r>
      <w:commentRangeStart w:id="0"/>
      <w:r w:rsidRPr="153488E7">
        <w:rPr>
          <w:rFonts w:ascii="Aptos" w:hAnsi="Aptos"/>
          <w:sz w:val="20"/>
          <w:szCs w:val="20"/>
        </w:rPr>
        <w:t>lifecycle</w:t>
      </w:r>
      <w:commentRangeEnd w:id="0"/>
      <w:r w:rsidRPr="153488E7">
        <w:rPr>
          <w:rStyle w:val="CommentReference"/>
          <w:rFonts w:ascii="Aptos" w:hAnsi="Aptos"/>
          <w:sz w:val="20"/>
          <w:szCs w:val="20"/>
        </w:rPr>
        <w:commentReference w:id="0"/>
      </w:r>
      <w:r w:rsidRPr="153488E7">
        <w:rPr>
          <w:rFonts w:ascii="Aptos" w:hAnsi="Aptos"/>
          <w:sz w:val="20"/>
          <w:szCs w:val="20"/>
        </w:rPr>
        <w:t>:</w:t>
      </w:r>
    </w:p>
    <w:p w14:paraId="23CAD85A" w14:textId="195FB8D3" w:rsidR="33ED9ED1" w:rsidRDefault="33ED9ED1" w:rsidP="153488E7">
      <w:pPr>
        <w:pStyle w:val="ListParagraph"/>
        <w:numPr>
          <w:ilvl w:val="0"/>
          <w:numId w:val="1"/>
        </w:numPr>
        <w:rPr>
          <w:rFonts w:ascii="Aptos" w:hAnsi="Aptos"/>
          <w:sz w:val="20"/>
          <w:szCs w:val="20"/>
        </w:rPr>
      </w:pPr>
      <w:r w:rsidRPr="153488E7">
        <w:rPr>
          <w:rFonts w:ascii="Aptos" w:hAnsi="Aptos"/>
          <w:sz w:val="20"/>
          <w:szCs w:val="20"/>
        </w:rPr>
        <w:t>Education and Scope: Establish shared understanding and focus on proportionality.</w:t>
      </w:r>
    </w:p>
    <w:p w14:paraId="7E6B34FE" w14:textId="15341605" w:rsidR="33ED9ED1" w:rsidRDefault="33ED9ED1" w:rsidP="153488E7">
      <w:pPr>
        <w:pStyle w:val="ListParagraph"/>
        <w:numPr>
          <w:ilvl w:val="0"/>
          <w:numId w:val="1"/>
        </w:numPr>
        <w:rPr>
          <w:rFonts w:ascii="Aptos" w:hAnsi="Aptos"/>
          <w:sz w:val="20"/>
          <w:szCs w:val="20"/>
        </w:rPr>
      </w:pPr>
      <w:r w:rsidRPr="153488E7">
        <w:rPr>
          <w:rFonts w:ascii="Aptos" w:hAnsi="Aptos"/>
          <w:sz w:val="20"/>
          <w:szCs w:val="20"/>
        </w:rPr>
        <w:t>Define Critical to Quality Factors: Clarify what truly matters to participant safety and data reliability.</w:t>
      </w:r>
    </w:p>
    <w:p w14:paraId="0A3840BA" w14:textId="24D20AC3" w:rsidR="33ED9ED1" w:rsidRDefault="33ED9ED1" w:rsidP="153488E7">
      <w:pPr>
        <w:pStyle w:val="ListParagraph"/>
        <w:numPr>
          <w:ilvl w:val="0"/>
          <w:numId w:val="1"/>
        </w:numPr>
        <w:rPr>
          <w:rFonts w:ascii="Aptos" w:hAnsi="Aptos"/>
          <w:sz w:val="20"/>
          <w:szCs w:val="20"/>
        </w:rPr>
      </w:pPr>
      <w:r w:rsidRPr="153488E7">
        <w:rPr>
          <w:rFonts w:ascii="Aptos" w:hAnsi="Aptos"/>
          <w:sz w:val="20"/>
          <w:szCs w:val="20"/>
        </w:rPr>
        <w:t xml:space="preserve">Risk Identification and Evaluation: Identify, evaluate and prioritize risks to </w:t>
      </w:r>
      <w:r w:rsidR="00F4350D">
        <w:rPr>
          <w:rFonts w:ascii="Aptos" w:hAnsi="Aptos"/>
          <w:sz w:val="20"/>
          <w:szCs w:val="20"/>
        </w:rPr>
        <w:t>CtQ</w:t>
      </w:r>
      <w:r w:rsidRPr="153488E7">
        <w:rPr>
          <w:rFonts w:ascii="Aptos" w:hAnsi="Aptos"/>
          <w:sz w:val="20"/>
          <w:szCs w:val="20"/>
        </w:rPr>
        <w:t xml:space="preserve"> factors.</w:t>
      </w:r>
    </w:p>
    <w:p w14:paraId="09C369C2" w14:textId="082D4139" w:rsidR="33ED9ED1" w:rsidRDefault="33ED9ED1" w:rsidP="153488E7">
      <w:pPr>
        <w:pStyle w:val="ListParagraph"/>
        <w:numPr>
          <w:ilvl w:val="0"/>
          <w:numId w:val="1"/>
        </w:numPr>
        <w:rPr>
          <w:rFonts w:ascii="Aptos" w:hAnsi="Aptos"/>
          <w:sz w:val="20"/>
          <w:szCs w:val="20"/>
        </w:rPr>
      </w:pPr>
      <w:r w:rsidRPr="153488E7">
        <w:rPr>
          <w:rFonts w:ascii="Aptos" w:hAnsi="Aptos"/>
          <w:sz w:val="20"/>
          <w:szCs w:val="20"/>
        </w:rPr>
        <w:t>Risk Control and Mitigation Planning: Define controls, ownership, and risk-monitoring strategies.</w:t>
      </w:r>
    </w:p>
    <w:p w14:paraId="79B54415" w14:textId="05D1791C" w:rsidR="33ED9ED1" w:rsidRDefault="33ED9ED1" w:rsidP="153488E7">
      <w:pPr>
        <w:pStyle w:val="ListParagraph"/>
        <w:numPr>
          <w:ilvl w:val="0"/>
          <w:numId w:val="1"/>
        </w:numPr>
        <w:rPr>
          <w:rFonts w:ascii="Aptos" w:hAnsi="Aptos"/>
          <w:sz w:val="20"/>
          <w:szCs w:val="20"/>
        </w:rPr>
      </w:pPr>
      <w:r w:rsidRPr="153488E7">
        <w:rPr>
          <w:rFonts w:ascii="Aptos" w:hAnsi="Aptos"/>
          <w:sz w:val="20"/>
          <w:szCs w:val="20"/>
        </w:rPr>
        <w:t>Integration with Functional Plans: Embed mitigations into operational documentation.</w:t>
      </w:r>
    </w:p>
    <w:p w14:paraId="40E2F315" w14:textId="65F933FB" w:rsidR="33ED9ED1" w:rsidRDefault="33ED9ED1" w:rsidP="153488E7">
      <w:pPr>
        <w:pStyle w:val="ListParagraph"/>
        <w:numPr>
          <w:ilvl w:val="0"/>
          <w:numId w:val="1"/>
        </w:numPr>
        <w:rPr>
          <w:rFonts w:ascii="Aptos" w:hAnsi="Aptos"/>
          <w:sz w:val="20"/>
          <w:szCs w:val="20"/>
        </w:rPr>
      </w:pPr>
      <w:r w:rsidRPr="153488E7">
        <w:rPr>
          <w:rFonts w:ascii="Aptos" w:hAnsi="Aptos"/>
          <w:sz w:val="20"/>
          <w:szCs w:val="20"/>
        </w:rPr>
        <w:t>Ongoing Oversight and Continuous Improvement: Reassess and update risks and controls as study data evolve.</w:t>
      </w:r>
    </w:p>
    <w:p w14:paraId="7FDCF59A" w14:textId="726B850B" w:rsidR="00DA5326" w:rsidRPr="00E369C3" w:rsidRDefault="00DA5326" w:rsidP="00246705">
      <w:pPr>
        <w:jc w:val="center"/>
      </w:pPr>
    </w:p>
    <w:p w14:paraId="7F0F4930" w14:textId="77777777" w:rsidR="00C06F82" w:rsidRDefault="0016568D" w:rsidP="00246705">
      <w:pPr>
        <w:ind w:left="567" w:firstLine="284"/>
        <w:rPr>
          <w:sz w:val="18"/>
          <w:szCs w:val="18"/>
        </w:rPr>
        <w:sectPr w:rsidR="00C06F82" w:rsidSect="00085B7D">
          <w:headerReference w:type="default" r:id="rId15"/>
          <w:footerReference w:type="default" r:id="rId16"/>
          <w:pgSz w:w="12240" w:h="15840"/>
          <w:pgMar w:top="720" w:right="720" w:bottom="720" w:left="720" w:header="720" w:footer="720" w:gutter="0"/>
          <w:cols w:space="720"/>
          <w:docGrid w:linePitch="360"/>
        </w:sectPr>
      </w:pPr>
      <w:r w:rsidRPr="00E369C3">
        <w:rPr>
          <w:noProof/>
          <w:sz w:val="18"/>
          <w:szCs w:val="18"/>
        </w:rPr>
        <mc:AlternateContent>
          <mc:Choice Requires="wps">
            <w:drawing>
              <wp:inline distT="0" distB="0" distL="0" distR="0" wp14:anchorId="51AA7887" wp14:editId="62A52364">
                <wp:extent cx="5835650" cy="6350"/>
                <wp:effectExtent l="0" t="0" r="31750" b="31750"/>
                <wp:docPr id="2144322147" name="Straight Connector 1"/>
                <wp:cNvGraphicFramePr/>
                <a:graphic xmlns:a="http://schemas.openxmlformats.org/drawingml/2006/main">
                  <a:graphicData uri="http://schemas.microsoft.com/office/word/2010/wordprocessingShape">
                    <wps:wsp>
                      <wps:cNvCnPr/>
                      <wps:spPr>
                        <a:xfrm>
                          <a:off x="0" y="0"/>
                          <a:ext cx="5835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w:pict w14:anchorId="70E290E8">
              <v:line id="Straight Connector 1" style="visibility:visible;mso-wrap-style:square;mso-left-percent:-10001;mso-top-percent:-10001;mso-position-horizontal:absolute;mso-position-horizontal-relative:char;mso-position-vertical:absolute;mso-position-vertical-relative:line;mso-left-percent:-10001;mso-top-percent:-10001" o:spid="_x0000_s1026" strokecolor="black [3040]" from="0,0" to="459.5pt,.5pt" w14:anchorId="61440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">
                <w10:anchorlock/>
              </v:line>
            </w:pict>
          </mc:Fallback>
        </mc:AlternateContent>
      </w:r>
    </w:p>
    <w:p w14:paraId="0E8B4D75" w14:textId="77777777" w:rsidR="00FF01F2" w:rsidRPr="00E369C3" w:rsidRDefault="00FF01F2" w:rsidP="00FF01F2">
      <w:pPr>
        <w:pStyle w:val="Heading3"/>
        <w:rPr>
          <w:sz w:val="22"/>
          <w:szCs w:val="22"/>
        </w:rPr>
      </w:pPr>
      <w:r w:rsidRPr="00E369C3">
        <w:rPr>
          <w:sz w:val="22"/>
          <w:szCs w:val="22"/>
        </w:rPr>
        <w:lastRenderedPageBreak/>
        <w:t>Step 1 – Education and Scope</w:t>
      </w:r>
    </w:p>
    <w:p w14:paraId="112740AC" w14:textId="77777777" w:rsidR="00FF01F2" w:rsidRPr="00E369C3" w:rsidRDefault="00FF01F2" w:rsidP="00FF01F2">
      <w:pPr>
        <w:rPr>
          <w:rFonts w:ascii="Aptos" w:hAnsi="Aptos"/>
          <w:sz w:val="20"/>
          <w:szCs w:val="20"/>
        </w:rPr>
      </w:pPr>
      <w:r w:rsidRPr="00E369C3">
        <w:rPr>
          <w:rFonts w:ascii="Aptos" w:hAnsi="Aptos"/>
          <w:b/>
          <w:bCs/>
          <w:sz w:val="20"/>
          <w:szCs w:val="20"/>
        </w:rPr>
        <w:t>Deeper Dive</w:t>
      </w:r>
    </w:p>
    <w:p w14:paraId="4B752C28" w14:textId="254B0CB5" w:rsidR="000257A7" w:rsidRPr="000257A7" w:rsidRDefault="000A1398" w:rsidP="000257A7">
      <w:pPr>
        <w:rPr>
          <w:rFonts w:ascii="Aptos" w:eastAsiaTheme="minorEastAsia" w:hAnsi="Aptos"/>
          <w:sz w:val="20"/>
          <w:szCs w:val="20"/>
        </w:rPr>
      </w:pPr>
      <w:r w:rsidRPr="000A1398">
        <w:rPr>
          <w:rFonts w:ascii="Aptos" w:eastAsiaTheme="minorEastAsia" w:hAnsi="Aptos"/>
          <w:sz w:val="20"/>
          <w:szCs w:val="20"/>
        </w:rPr>
        <w:t xml:space="preserve">Shared literacy empowers teams to assess risk </w:t>
      </w:r>
      <w:r w:rsidR="00A068B7">
        <w:rPr>
          <w:rFonts w:ascii="Aptos" w:eastAsiaTheme="minorEastAsia" w:hAnsi="Aptos"/>
          <w:sz w:val="20"/>
          <w:szCs w:val="20"/>
        </w:rPr>
        <w:t>proportionately</w:t>
      </w:r>
      <w:r w:rsidRPr="000A1398">
        <w:rPr>
          <w:rFonts w:ascii="Aptos" w:eastAsiaTheme="minorEastAsia" w:hAnsi="Aptos"/>
          <w:sz w:val="20"/>
          <w:szCs w:val="20"/>
        </w:rPr>
        <w:t xml:space="preserve">. </w:t>
      </w:r>
      <w:r w:rsidR="008E16E4">
        <w:rPr>
          <w:rFonts w:ascii="Aptos" w:eastAsiaTheme="minorEastAsia" w:hAnsi="Aptos"/>
          <w:sz w:val="20"/>
          <w:szCs w:val="20"/>
        </w:rPr>
        <w:t>Risk</w:t>
      </w:r>
      <w:r w:rsidRPr="000A1398">
        <w:rPr>
          <w:rFonts w:ascii="Aptos" w:eastAsiaTheme="minorEastAsia" w:hAnsi="Aptos"/>
          <w:sz w:val="20"/>
          <w:szCs w:val="20"/>
        </w:rPr>
        <w:t xml:space="preserve"> proportionality </w:t>
      </w:r>
      <w:r w:rsidR="008E16E4">
        <w:rPr>
          <w:rFonts w:ascii="Aptos" w:eastAsiaTheme="minorEastAsia" w:hAnsi="Aptos"/>
          <w:sz w:val="20"/>
          <w:szCs w:val="20"/>
        </w:rPr>
        <w:t>is</w:t>
      </w:r>
      <w:r w:rsidRPr="000A1398">
        <w:rPr>
          <w:rFonts w:ascii="Aptos" w:eastAsiaTheme="minorEastAsia" w:hAnsi="Aptos"/>
          <w:sz w:val="20"/>
          <w:szCs w:val="20"/>
        </w:rPr>
        <w:t xml:space="preserve"> tailoring oversight and mitigation</w:t>
      </w:r>
      <w:r w:rsidR="008E16E4">
        <w:rPr>
          <w:rFonts w:ascii="Aptos" w:eastAsiaTheme="minorEastAsia" w:hAnsi="Aptos"/>
          <w:sz w:val="20"/>
          <w:szCs w:val="20"/>
        </w:rPr>
        <w:t xml:space="preserve"> to the level of risk</w:t>
      </w:r>
      <w:r w:rsidRPr="000A1398">
        <w:rPr>
          <w:rFonts w:ascii="Aptos" w:eastAsiaTheme="minorEastAsia" w:hAnsi="Aptos"/>
          <w:sz w:val="20"/>
          <w:szCs w:val="20"/>
        </w:rPr>
        <w:t xml:space="preserve">.  Low risks can be accepted because activities we perform every day </w:t>
      </w:r>
      <w:r w:rsidRPr="000A1398">
        <w:rPr>
          <w:rFonts w:ascii="Aptos" w:eastAsiaTheme="minorEastAsia" w:hAnsi="Aptos"/>
          <w:i/>
          <w:iCs/>
          <w:sz w:val="20"/>
          <w:szCs w:val="20"/>
        </w:rPr>
        <w:t>are</w:t>
      </w:r>
      <w:r w:rsidRPr="000A1398">
        <w:rPr>
          <w:rFonts w:ascii="Aptos" w:eastAsiaTheme="minorEastAsia" w:hAnsi="Aptos"/>
          <w:sz w:val="20"/>
          <w:szCs w:val="20"/>
        </w:rPr>
        <w:t xml:space="preserve"> </w:t>
      </w:r>
      <w:r w:rsidRPr="00E369C3">
        <w:rPr>
          <w:rFonts w:ascii="Aptos" w:eastAsiaTheme="minorEastAsia" w:hAnsi="Aptos"/>
          <w:sz w:val="20"/>
          <w:szCs w:val="20"/>
        </w:rPr>
        <w:t>the</w:t>
      </w:r>
      <w:r w:rsidRPr="000A1398">
        <w:rPr>
          <w:rFonts w:ascii="Aptos" w:eastAsiaTheme="minorEastAsia" w:hAnsi="Aptos"/>
          <w:sz w:val="20"/>
          <w:szCs w:val="20"/>
        </w:rPr>
        <w:t xml:space="preserve"> mitigation</w:t>
      </w:r>
      <w:r w:rsidR="00D12428" w:rsidRPr="00E369C3">
        <w:rPr>
          <w:rFonts w:ascii="Aptos" w:eastAsiaTheme="minorEastAsia" w:hAnsi="Aptos"/>
          <w:sz w:val="20"/>
          <w:szCs w:val="20"/>
        </w:rPr>
        <w:t>s</w:t>
      </w:r>
      <w:r w:rsidRPr="000A1398">
        <w:rPr>
          <w:rFonts w:ascii="Aptos" w:eastAsiaTheme="minorEastAsia" w:hAnsi="Aptos"/>
          <w:sz w:val="20"/>
          <w:szCs w:val="20"/>
        </w:rPr>
        <w:t xml:space="preserve">, until the study data informs otherwise.  </w:t>
      </w:r>
      <w:r w:rsidR="000257A7" w:rsidRPr="000257A7">
        <w:rPr>
          <w:rFonts w:ascii="Aptos" w:eastAsiaTheme="minorEastAsia" w:hAnsi="Aptos"/>
          <w:sz w:val="20"/>
          <w:szCs w:val="20"/>
        </w:rPr>
        <w:t>A risk</w:t>
      </w:r>
      <w:r w:rsidR="000257A7" w:rsidRPr="000257A7">
        <w:rPr>
          <w:rFonts w:ascii="Aptos" w:eastAsiaTheme="minorEastAsia" w:hAnsi="Aptos"/>
          <w:sz w:val="20"/>
          <w:szCs w:val="20"/>
        </w:rPr>
        <w:noBreakHyphen/>
        <w:t>proportionate approach ensures control and oversight are driven by risk impact, concentrating quality management where it matters most</w:t>
      </w:r>
      <w:r w:rsidR="000257A7">
        <w:rPr>
          <w:rFonts w:ascii="Aptos" w:eastAsiaTheme="minorEastAsia" w:hAnsi="Aptos"/>
          <w:sz w:val="20"/>
          <w:szCs w:val="20"/>
        </w:rPr>
        <w:t xml:space="preserve">: </w:t>
      </w:r>
      <w:r w:rsidR="000257A7" w:rsidRPr="000257A7">
        <w:rPr>
          <w:rFonts w:ascii="Aptos" w:eastAsiaTheme="minorEastAsia" w:hAnsi="Aptos"/>
          <w:sz w:val="20"/>
          <w:szCs w:val="20"/>
        </w:rPr>
        <w:t xml:space="preserve">on </w:t>
      </w:r>
      <w:r w:rsidR="00F4350D">
        <w:rPr>
          <w:rFonts w:ascii="Aptos" w:eastAsiaTheme="minorEastAsia" w:hAnsi="Aptos"/>
          <w:sz w:val="20"/>
          <w:szCs w:val="20"/>
        </w:rPr>
        <w:t>CtQ</w:t>
      </w:r>
      <w:r w:rsidR="000257A7" w:rsidRPr="000257A7">
        <w:rPr>
          <w:rFonts w:ascii="Aptos" w:eastAsiaTheme="minorEastAsia" w:hAnsi="Aptos"/>
          <w:sz w:val="20"/>
          <w:szCs w:val="20"/>
        </w:rPr>
        <w:t xml:space="preserve"> factors.</w:t>
      </w:r>
    </w:p>
    <w:p w14:paraId="680F7485" w14:textId="77777777" w:rsidR="000A1398" w:rsidRPr="000A1398" w:rsidRDefault="000A1398" w:rsidP="000A1398">
      <w:pPr>
        <w:rPr>
          <w:rFonts w:ascii="Aptos" w:eastAsiaTheme="minorEastAsia" w:hAnsi="Aptos"/>
          <w:sz w:val="20"/>
          <w:szCs w:val="20"/>
        </w:rPr>
      </w:pPr>
      <w:r w:rsidRPr="000A1398">
        <w:rPr>
          <w:rFonts w:ascii="Aptos" w:eastAsiaTheme="minorEastAsia" w:hAnsi="Aptos"/>
          <w:sz w:val="20"/>
          <w:szCs w:val="20"/>
        </w:rPr>
        <w:t>Early framing from leadership by anchoring discussions in what’s truly critical sets the tone for cross-functional alignment. This step is not just about logistics; it’s about establishing a mindset that values curiosity, transparency, and shared responsibility.</w:t>
      </w:r>
    </w:p>
    <w:p w14:paraId="3EB73C22" w14:textId="77777777" w:rsidR="00FF01F2" w:rsidRPr="00E369C3" w:rsidRDefault="00FF01F2" w:rsidP="00FF01F2">
      <w:pPr>
        <w:rPr>
          <w:rFonts w:ascii="Aptos" w:hAnsi="Aptos"/>
          <w:sz w:val="20"/>
          <w:szCs w:val="20"/>
        </w:rPr>
      </w:pPr>
      <w:r w:rsidRPr="00E369C3">
        <w:rPr>
          <w:rFonts w:ascii="Aptos" w:hAnsi="Aptos"/>
          <w:b/>
          <w:bCs/>
          <w:sz w:val="20"/>
          <w:szCs w:val="20"/>
        </w:rPr>
        <w:t>Leadership and Governance Integration</w:t>
      </w:r>
    </w:p>
    <w:p w14:paraId="54D0C7E6" w14:textId="77777777" w:rsidR="00DC3EC2" w:rsidRPr="00E369C3" w:rsidRDefault="00DC3EC2" w:rsidP="00FF01F2">
      <w:pPr>
        <w:rPr>
          <w:rFonts w:ascii="Aptos" w:hAnsi="Aptos"/>
          <w:sz w:val="20"/>
          <w:szCs w:val="20"/>
        </w:rPr>
      </w:pPr>
      <w:r w:rsidRPr="00E369C3">
        <w:rPr>
          <w:rFonts w:ascii="Aptos" w:hAnsi="Aptos"/>
          <w:sz w:val="20"/>
          <w:szCs w:val="20"/>
        </w:rPr>
        <w:t>Strong governance creates space for curiosity over compliance.   Leadership presence at kickoff sessions signals that risk assessment is a strategic priority, not a box to check. We heard stories of leaders asking questions that reframe how teams think about risk. As one participant said, “The minute leadership starts asking about the quality of the </w:t>
      </w:r>
      <w:r w:rsidRPr="00E369C3">
        <w:rPr>
          <w:rFonts w:ascii="Aptos" w:hAnsi="Aptos"/>
          <w:i/>
          <w:iCs/>
          <w:sz w:val="20"/>
          <w:szCs w:val="20"/>
        </w:rPr>
        <w:t>conversation</w:t>
      </w:r>
      <w:r w:rsidRPr="00E369C3">
        <w:rPr>
          <w:rFonts w:ascii="Aptos" w:hAnsi="Aptos"/>
          <w:sz w:val="20"/>
          <w:szCs w:val="20"/>
        </w:rPr>
        <w:t> rather than the number of rows in the </w:t>
      </w:r>
      <w:commentRangeStart w:id="1"/>
      <w:r w:rsidRPr="00E369C3">
        <w:rPr>
          <w:rFonts w:ascii="Aptos" w:hAnsi="Aptos"/>
          <w:sz w:val="20"/>
          <w:szCs w:val="20"/>
        </w:rPr>
        <w:t>risk log*</w:t>
      </w:r>
      <w:commentRangeEnd w:id="1"/>
      <w:r w:rsidR="00612AB2" w:rsidRPr="00E369C3">
        <w:rPr>
          <w:rStyle w:val="CommentReference"/>
          <w:rFonts w:ascii="Aptos" w:hAnsi="Aptos"/>
          <w:sz w:val="20"/>
          <w:szCs w:val="20"/>
        </w:rPr>
        <w:commentReference w:id="1"/>
      </w:r>
      <w:r w:rsidRPr="00E369C3">
        <w:rPr>
          <w:rFonts w:ascii="Aptos" w:hAnsi="Aptos"/>
          <w:sz w:val="20"/>
          <w:szCs w:val="20"/>
        </w:rPr>
        <w:t>, everything changes.”  </w:t>
      </w:r>
    </w:p>
    <w:p w14:paraId="498E5B00" w14:textId="1A5001C3" w:rsidR="00FF01F2" w:rsidRPr="00E369C3" w:rsidRDefault="00FF01F2" w:rsidP="00FF01F2">
      <w:pPr>
        <w:rPr>
          <w:rFonts w:ascii="Aptos" w:hAnsi="Aptos"/>
          <w:b/>
          <w:bCs/>
          <w:sz w:val="20"/>
          <w:szCs w:val="20"/>
        </w:rPr>
      </w:pPr>
      <w:r w:rsidRPr="00E369C3">
        <w:rPr>
          <w:rFonts w:ascii="Aptos" w:hAnsi="Aptos"/>
          <w:b/>
          <w:bCs/>
          <w:sz w:val="20"/>
          <w:szCs w:val="20"/>
        </w:rPr>
        <w:t>Pro-Tips</w:t>
      </w:r>
    </w:p>
    <w:p w14:paraId="223A9698" w14:textId="77777777" w:rsidR="00834E9B" w:rsidRPr="00834E9B" w:rsidRDefault="00834E9B" w:rsidP="00834E9B">
      <w:pPr>
        <w:numPr>
          <w:ilvl w:val="0"/>
          <w:numId w:val="16"/>
        </w:numPr>
        <w:rPr>
          <w:rFonts w:ascii="Aptos" w:hAnsi="Aptos"/>
          <w:sz w:val="20"/>
          <w:szCs w:val="20"/>
        </w:rPr>
      </w:pPr>
      <w:r w:rsidRPr="00834E9B">
        <w:rPr>
          <w:rFonts w:ascii="Aptos" w:hAnsi="Aptos"/>
          <w:sz w:val="20"/>
          <w:szCs w:val="20"/>
        </w:rPr>
        <w:t>Begin each session with a short “risk-literacy refresher.” Consider using relatable analogies, such as risks related to a vacation, or real-world examples to make abstract concepts more relatable and spark engagement.  </w:t>
      </w:r>
    </w:p>
    <w:p w14:paraId="3CB01265" w14:textId="77777777" w:rsidR="00834E9B" w:rsidRPr="00834E9B" w:rsidRDefault="00834E9B" w:rsidP="00834E9B">
      <w:pPr>
        <w:numPr>
          <w:ilvl w:val="0"/>
          <w:numId w:val="17"/>
        </w:numPr>
        <w:rPr>
          <w:rFonts w:ascii="Aptos" w:hAnsi="Aptos"/>
          <w:sz w:val="20"/>
          <w:szCs w:val="20"/>
        </w:rPr>
      </w:pPr>
      <w:r w:rsidRPr="00834E9B">
        <w:rPr>
          <w:rFonts w:ascii="Aptos" w:hAnsi="Aptos"/>
          <w:sz w:val="20"/>
          <w:szCs w:val="20"/>
        </w:rPr>
        <w:t>Invest in training for facilitators which may be external soft-skills facilitation training, online materials, or forums facilitated internally. Formal training supplements the facilitator’s clinical trial knowledge to help teams get the most out of the risk assessment. </w:t>
      </w:r>
    </w:p>
    <w:p w14:paraId="2DC01B21" w14:textId="214C4F3E" w:rsidR="00834E9B" w:rsidRPr="00834E9B" w:rsidRDefault="00834E9B" w:rsidP="00834E9B">
      <w:pPr>
        <w:numPr>
          <w:ilvl w:val="0"/>
          <w:numId w:val="18"/>
        </w:numPr>
        <w:rPr>
          <w:rFonts w:ascii="Aptos" w:hAnsi="Aptos"/>
          <w:sz w:val="20"/>
          <w:szCs w:val="20"/>
        </w:rPr>
      </w:pPr>
      <w:r w:rsidRPr="00834E9B">
        <w:rPr>
          <w:rFonts w:ascii="Aptos" w:hAnsi="Aptos"/>
          <w:sz w:val="20"/>
          <w:szCs w:val="20"/>
        </w:rPr>
        <w:t xml:space="preserve">Write clear, cross-functional processes for risk assessment. </w:t>
      </w:r>
      <w:r w:rsidR="00D64FE7">
        <w:rPr>
          <w:rFonts w:ascii="Aptos" w:hAnsi="Aptos"/>
          <w:sz w:val="20"/>
          <w:szCs w:val="20"/>
        </w:rPr>
        <w:t>Define</w:t>
      </w:r>
      <w:r w:rsidRPr="00834E9B">
        <w:rPr>
          <w:rFonts w:ascii="Aptos" w:hAnsi="Aptos"/>
          <w:sz w:val="20"/>
          <w:szCs w:val="20"/>
        </w:rPr>
        <w:t xml:space="preserve"> who participates, when risk assessments occur throughout the study lifecycle, how mitigations are implemented, and how they link to </w:t>
      </w:r>
      <w:r w:rsidRPr="00E369C3">
        <w:rPr>
          <w:rFonts w:ascii="Aptos" w:hAnsi="Aptos"/>
          <w:sz w:val="20"/>
          <w:szCs w:val="20"/>
        </w:rPr>
        <w:t xml:space="preserve">all forms of </w:t>
      </w:r>
      <w:r w:rsidR="00386984" w:rsidRPr="00E369C3">
        <w:rPr>
          <w:rFonts w:ascii="Aptos" w:hAnsi="Aptos"/>
          <w:sz w:val="20"/>
          <w:szCs w:val="20"/>
        </w:rPr>
        <w:t>m</w:t>
      </w:r>
      <w:r w:rsidRPr="00834E9B">
        <w:rPr>
          <w:rFonts w:ascii="Aptos" w:hAnsi="Aptos"/>
          <w:sz w:val="20"/>
          <w:szCs w:val="20"/>
        </w:rPr>
        <w:t>onitoring (on-site monitoring, centralized monitoring, data review). </w:t>
      </w:r>
    </w:p>
    <w:p w14:paraId="3DDD9CA0" w14:textId="77777777" w:rsidR="00834E9B" w:rsidRPr="00834E9B" w:rsidRDefault="00834E9B" w:rsidP="00834E9B">
      <w:pPr>
        <w:numPr>
          <w:ilvl w:val="0"/>
          <w:numId w:val="19"/>
        </w:numPr>
        <w:rPr>
          <w:rFonts w:ascii="Aptos" w:hAnsi="Aptos"/>
          <w:sz w:val="20"/>
          <w:szCs w:val="20"/>
        </w:rPr>
      </w:pPr>
      <w:r w:rsidRPr="00834E9B">
        <w:rPr>
          <w:rFonts w:ascii="Aptos" w:hAnsi="Aptos"/>
          <w:sz w:val="20"/>
          <w:szCs w:val="20"/>
        </w:rPr>
        <w:t>Leadership review of top study risks reinforces accountability and shared ownership. Successful organizations established small oversight teams to ensure consistency across studies without stifling flexibility.   </w:t>
      </w:r>
    </w:p>
    <w:p w14:paraId="0877AE2D" w14:textId="09EEEAD6" w:rsidR="00C06F82" w:rsidRDefault="00834E9B" w:rsidP="00834E9B">
      <w:pPr>
        <w:numPr>
          <w:ilvl w:val="0"/>
          <w:numId w:val="20"/>
        </w:numPr>
        <w:rPr>
          <w:rFonts w:ascii="Aptos" w:hAnsi="Aptos"/>
          <w:sz w:val="20"/>
          <w:szCs w:val="20"/>
        </w:rPr>
        <w:sectPr w:rsidR="00C06F82" w:rsidSect="00085B7D">
          <w:footerReference w:type="default" r:id="rId17"/>
          <w:pgSz w:w="12240" w:h="15840"/>
          <w:pgMar w:top="720" w:right="720" w:bottom="720" w:left="720" w:header="720" w:footer="720" w:gutter="0"/>
          <w:cols w:space="720"/>
          <w:docGrid w:linePitch="360"/>
        </w:sectPr>
      </w:pPr>
      <w:r w:rsidRPr="00834E9B">
        <w:rPr>
          <w:rFonts w:ascii="Aptos" w:hAnsi="Aptos"/>
          <w:sz w:val="20"/>
          <w:szCs w:val="20"/>
        </w:rPr>
        <w:t>Facilitators must be empowered to challenge non</w:t>
      </w:r>
      <w:r w:rsidRPr="00834E9B">
        <w:rPr>
          <w:rFonts w:ascii="Aptos" w:hAnsi="Aptos"/>
          <w:sz w:val="20"/>
          <w:szCs w:val="20"/>
        </w:rPr>
        <w:noBreakHyphen/>
      </w:r>
      <w:r w:rsidR="00F4350D">
        <w:rPr>
          <w:rFonts w:ascii="Aptos" w:hAnsi="Aptos"/>
          <w:sz w:val="20"/>
          <w:szCs w:val="20"/>
        </w:rPr>
        <w:t>CtQ</w:t>
      </w:r>
      <w:r w:rsidRPr="00834E9B">
        <w:rPr>
          <w:rFonts w:ascii="Aptos" w:hAnsi="Aptos"/>
          <w:sz w:val="20"/>
          <w:szCs w:val="20"/>
        </w:rPr>
        <w:t> risks, defer out</w:t>
      </w:r>
      <w:r w:rsidRPr="00834E9B">
        <w:rPr>
          <w:rFonts w:ascii="Aptos" w:hAnsi="Aptos"/>
          <w:sz w:val="20"/>
          <w:szCs w:val="20"/>
        </w:rPr>
        <w:noBreakHyphen/>
        <w:t>of</w:t>
      </w:r>
      <w:r w:rsidRPr="00834E9B">
        <w:rPr>
          <w:rFonts w:ascii="Aptos" w:hAnsi="Aptos"/>
          <w:sz w:val="20"/>
          <w:szCs w:val="20"/>
        </w:rPr>
        <w:noBreakHyphen/>
        <w:t>scope discussions, and refocus teams on critical decisions.</w:t>
      </w:r>
    </w:p>
    <w:p w14:paraId="3A9DB713" w14:textId="02D8A0A4" w:rsidR="00FF01F2" w:rsidRPr="00E369C3" w:rsidRDefault="00FF01F2" w:rsidP="00FF01F2">
      <w:pPr>
        <w:rPr>
          <w:rFonts w:ascii="Aptos" w:eastAsia="Aptos" w:hAnsi="Aptos" w:cs="Aptos"/>
          <w:b/>
          <w:bCs/>
          <w:sz w:val="20"/>
          <w:szCs w:val="20"/>
        </w:rPr>
      </w:pPr>
      <w:commentRangeStart w:id="2"/>
      <w:r w:rsidRPr="00E369C3">
        <w:rPr>
          <w:rFonts w:ascii="Aptos" w:eastAsia="Aptos" w:hAnsi="Aptos" w:cs="Aptos"/>
          <w:b/>
          <w:bCs/>
          <w:sz w:val="20"/>
          <w:szCs w:val="20"/>
        </w:rPr>
        <w:lastRenderedPageBreak/>
        <w:t>AI Support / Usage</w:t>
      </w:r>
      <w:r w:rsidR="006421E8" w:rsidRPr="00E369C3">
        <w:rPr>
          <w:rFonts w:ascii="Aptos" w:eastAsia="Aptos" w:hAnsi="Aptos" w:cs="Aptos"/>
          <w:b/>
          <w:bCs/>
          <w:sz w:val="20"/>
          <w:szCs w:val="20"/>
        </w:rPr>
        <w:t>*</w:t>
      </w:r>
      <w:commentRangeEnd w:id="2"/>
      <w:r w:rsidR="00E8357B" w:rsidRPr="00E369C3">
        <w:rPr>
          <w:rStyle w:val="CommentReference"/>
          <w:rFonts w:ascii="Aptos" w:eastAsia="Aptos" w:hAnsi="Aptos" w:cs="Aptos"/>
          <w:b/>
          <w:bCs/>
          <w:sz w:val="20"/>
          <w:szCs w:val="20"/>
        </w:rPr>
        <w:commentReference w:id="2"/>
      </w:r>
    </w:p>
    <w:p w14:paraId="3B1B59B9" w14:textId="77777777" w:rsidR="00675C04" w:rsidRPr="00E369C3" w:rsidRDefault="00675C04" w:rsidP="00FF01F2">
      <w:pPr>
        <w:rPr>
          <w:rFonts w:ascii="Aptos" w:eastAsia="Aptos" w:hAnsi="Aptos" w:cs="Aptos"/>
          <w:sz w:val="20"/>
          <w:szCs w:val="20"/>
        </w:rPr>
      </w:pPr>
      <w:r w:rsidRPr="00E369C3">
        <w:rPr>
          <w:rFonts w:ascii="Aptos" w:eastAsia="Aptos" w:hAnsi="Aptos" w:cs="Aptos"/>
          <w:sz w:val="20"/>
          <w:szCs w:val="20"/>
        </w:rPr>
        <w:t>AI can serve as a facilitation partner, using prior transcripts and notes to summarize key lessons, identify recurring themes, and prompt facilitators on discussion follow-ups. AI-driven preparation tools can also tailor refresher decks or highlight key topics for each session. </w:t>
      </w:r>
    </w:p>
    <w:p w14:paraId="411C3C02" w14:textId="1D5E0610" w:rsidR="00FF01F2" w:rsidRPr="00E369C3" w:rsidRDefault="00FF01F2" w:rsidP="00FF01F2">
      <w:pPr>
        <w:rPr>
          <w:rFonts w:ascii="Aptos" w:hAnsi="Aptos"/>
          <w:sz w:val="20"/>
          <w:szCs w:val="20"/>
        </w:rPr>
      </w:pPr>
      <w:r w:rsidRPr="00E369C3">
        <w:rPr>
          <w:rFonts w:ascii="Aptos" w:hAnsi="Aptos"/>
          <w:b/>
          <w:bCs/>
          <w:sz w:val="20"/>
          <w:szCs w:val="20"/>
        </w:rPr>
        <w:t>Working Example</w:t>
      </w:r>
    </w:p>
    <w:p w14:paraId="014B0F84" w14:textId="77777777" w:rsidR="0046347E" w:rsidRDefault="00D705C8" w:rsidP="00FF01F2">
      <w:pPr>
        <w:rPr>
          <w:rFonts w:ascii="Aptos" w:hAnsi="Aptos"/>
          <w:sz w:val="20"/>
          <w:szCs w:val="20"/>
        </w:rPr>
      </w:pPr>
      <w:r w:rsidRPr="00E369C3">
        <w:rPr>
          <w:rFonts w:ascii="Aptos" w:hAnsi="Aptos"/>
          <w:sz w:val="20"/>
          <w:szCs w:val="20"/>
        </w:rPr>
        <w:t>A sponsor introduced a 20-minute “risk-readiness” module at kickoff. By tailoring materials with AI-summarized lessons from similar studies, facilitators saw stronger participation and clearer thinking during risk sessions. The module included examples of past risks and mitigations, helping teams anticipate challenges and align early.</w:t>
      </w:r>
    </w:p>
    <w:p w14:paraId="7A6CDB3C" w14:textId="08F7F70E" w:rsidR="00D705C8" w:rsidRPr="0046347E" w:rsidRDefault="00FF01F2" w:rsidP="00D705C8">
      <w:pPr>
        <w:rPr>
          <w:rFonts w:ascii="Aptos" w:hAnsi="Aptos"/>
          <w:b/>
          <w:bCs/>
          <w:sz w:val="20"/>
          <w:szCs w:val="20"/>
          <w:lang w:val="pt-BR"/>
        </w:rPr>
      </w:pPr>
      <w:r w:rsidRPr="00E369C3">
        <w:rPr>
          <w:rFonts w:ascii="Aptos" w:hAnsi="Aptos"/>
          <w:b/>
          <w:bCs/>
          <w:sz w:val="20"/>
          <w:szCs w:val="20"/>
          <w:lang w:val="pt-BR"/>
        </w:rPr>
        <w:t>GCP References</w:t>
      </w:r>
    </w:p>
    <w:p w14:paraId="7349B37D" w14:textId="017B8368" w:rsidR="00FF01F2" w:rsidRPr="00E369C3" w:rsidRDefault="00D705C8" w:rsidP="00D705C8">
      <w:pPr>
        <w:rPr>
          <w:rFonts w:ascii="Aptos" w:hAnsi="Aptos"/>
          <w:sz w:val="20"/>
          <w:szCs w:val="20"/>
          <w:lang w:val="pt-BR"/>
        </w:rPr>
      </w:pPr>
      <w:r w:rsidRPr="00E369C3">
        <w:rPr>
          <w:rFonts w:ascii="Aptos" w:hAnsi="Aptos"/>
          <w:sz w:val="20"/>
          <w:szCs w:val="20"/>
          <w:lang w:val="pt-BR"/>
        </w:rPr>
        <w:t>ICH E6 (R3) Part III 3.10; ICH E8 (R1) §3</w:t>
      </w:r>
      <w:r w:rsidRPr="00E369C3">
        <w:rPr>
          <w:rFonts w:ascii="Aptos" w:hAnsi="Aptos"/>
          <w:sz w:val="20"/>
          <w:szCs w:val="20"/>
        </w:rPr>
        <w:t> </w:t>
      </w:r>
    </w:p>
    <w:p w14:paraId="3E0D08C5" w14:textId="0FAD75C3" w:rsidR="00252F48" w:rsidRPr="00E369C3" w:rsidRDefault="00252F48" w:rsidP="00FF01F2">
      <w:pPr>
        <w:pStyle w:val="Heading3"/>
        <w:rPr>
          <w:sz w:val="22"/>
          <w:szCs w:val="22"/>
        </w:rPr>
      </w:pPr>
      <w:r w:rsidRPr="00E369C3">
        <w:rPr>
          <w:noProof/>
          <w:sz w:val="22"/>
          <w:szCs w:val="22"/>
        </w:rPr>
        <mc:AlternateContent>
          <mc:Choice Requires="wps">
            <w:drawing>
              <wp:anchor distT="0" distB="0" distL="114300" distR="114300" simplePos="0" relativeHeight="251658240" behindDoc="0" locked="0" layoutInCell="1" allowOverlap="1" wp14:anchorId="0C8B7962" wp14:editId="2C2D30A4">
                <wp:simplePos x="0" y="0"/>
                <wp:positionH relativeFrom="column">
                  <wp:posOffset>-19050</wp:posOffset>
                </wp:positionH>
                <wp:positionV relativeFrom="paragraph">
                  <wp:posOffset>58420</wp:posOffset>
                </wp:positionV>
                <wp:extent cx="5784850" cy="6350"/>
                <wp:effectExtent l="0" t="0" r="25400" b="31750"/>
                <wp:wrapNone/>
                <wp:docPr id="1048326344" name="Straight Connector 1"/>
                <wp:cNvGraphicFramePr/>
                <a:graphic xmlns:a="http://schemas.openxmlformats.org/drawingml/2006/main">
                  <a:graphicData uri="http://schemas.microsoft.com/office/word/2010/wordprocessingShape">
                    <wps:wsp>
                      <wps:cNvCnPr/>
                      <wps:spPr>
                        <a:xfrm>
                          <a:off x="0" y="0"/>
                          <a:ext cx="578485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3A6760A4">
              <v:line id="Straight Connector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5pt,4.6pt" to="454pt,5.1pt" w14:anchorId="1A0884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"/>
            </w:pict>
          </mc:Fallback>
        </mc:AlternateContent>
      </w:r>
    </w:p>
    <w:p w14:paraId="6D77C2C3" w14:textId="65479D01" w:rsidR="00FF01F2" w:rsidRPr="00E369C3" w:rsidRDefault="00FF01F2" w:rsidP="00FF01F2">
      <w:pPr>
        <w:pStyle w:val="Heading3"/>
        <w:rPr>
          <w:sz w:val="22"/>
          <w:szCs w:val="22"/>
        </w:rPr>
      </w:pPr>
      <w:r w:rsidRPr="00E369C3">
        <w:rPr>
          <w:sz w:val="22"/>
          <w:szCs w:val="22"/>
        </w:rPr>
        <w:t>Step 2 – Define Critical-to-Quality (</w:t>
      </w:r>
      <w:r w:rsidR="00F4350D">
        <w:rPr>
          <w:sz w:val="22"/>
          <w:szCs w:val="22"/>
        </w:rPr>
        <w:t>CtQ</w:t>
      </w:r>
      <w:r w:rsidRPr="00E369C3">
        <w:rPr>
          <w:sz w:val="22"/>
          <w:szCs w:val="22"/>
        </w:rPr>
        <w:t>) Factors</w:t>
      </w:r>
    </w:p>
    <w:p w14:paraId="117B925E" w14:textId="77777777" w:rsidR="003238C7" w:rsidRPr="003238C7" w:rsidRDefault="003238C7" w:rsidP="003238C7">
      <w:pPr>
        <w:rPr>
          <w:rFonts w:ascii="Aptos" w:hAnsi="Aptos"/>
          <w:b/>
          <w:bCs/>
          <w:sz w:val="20"/>
          <w:szCs w:val="20"/>
        </w:rPr>
      </w:pPr>
      <w:r w:rsidRPr="003238C7">
        <w:rPr>
          <w:rFonts w:ascii="Aptos" w:hAnsi="Aptos"/>
          <w:b/>
          <w:bCs/>
          <w:sz w:val="20"/>
          <w:szCs w:val="20"/>
        </w:rPr>
        <w:t>Deeper Dive </w:t>
      </w:r>
    </w:p>
    <w:p w14:paraId="4CAAED79" w14:textId="178A9DF3" w:rsidR="003238C7" w:rsidRPr="003238C7" w:rsidRDefault="00F4350D" w:rsidP="003238C7">
      <w:pPr>
        <w:rPr>
          <w:rFonts w:ascii="Aptos" w:hAnsi="Aptos"/>
          <w:sz w:val="20"/>
          <w:szCs w:val="20"/>
        </w:rPr>
      </w:pPr>
      <w:r>
        <w:rPr>
          <w:rFonts w:ascii="Aptos" w:hAnsi="Aptos"/>
          <w:sz w:val="20"/>
          <w:szCs w:val="20"/>
        </w:rPr>
        <w:t>CtQ</w:t>
      </w:r>
      <w:r w:rsidR="003238C7" w:rsidRPr="003238C7">
        <w:rPr>
          <w:rFonts w:ascii="Aptos" w:hAnsi="Aptos"/>
          <w:sz w:val="20"/>
          <w:szCs w:val="20"/>
        </w:rPr>
        <w:t>s identify what must go right for participant safety and reliable results. These conversations anchor proportionate quality in the risk discussions. </w:t>
      </w:r>
      <w:r>
        <w:rPr>
          <w:rFonts w:ascii="Aptos" w:hAnsi="Aptos"/>
          <w:sz w:val="20"/>
          <w:szCs w:val="20"/>
        </w:rPr>
        <w:t>CtQ</w:t>
      </w:r>
      <w:r w:rsidR="003238C7" w:rsidRPr="003238C7">
        <w:rPr>
          <w:rFonts w:ascii="Aptos" w:hAnsi="Aptos"/>
          <w:sz w:val="20"/>
          <w:szCs w:val="20"/>
        </w:rPr>
        <w:t>s help teams focus on the “vital few” rather than the “trivial many,” ensuring that risk assessment targets what truly matters.  They help create focus and a unified language that fosters alignment across cross-functional teams. </w:t>
      </w:r>
    </w:p>
    <w:p w14:paraId="5465262E" w14:textId="77777777" w:rsidR="003238C7" w:rsidRPr="003238C7" w:rsidRDefault="003238C7" w:rsidP="003238C7">
      <w:pPr>
        <w:rPr>
          <w:rFonts w:ascii="Aptos" w:hAnsi="Aptos"/>
          <w:b/>
          <w:bCs/>
          <w:sz w:val="20"/>
          <w:szCs w:val="20"/>
        </w:rPr>
      </w:pPr>
      <w:r w:rsidRPr="003238C7">
        <w:rPr>
          <w:rFonts w:ascii="Aptos" w:hAnsi="Aptos"/>
          <w:b/>
          <w:bCs/>
          <w:sz w:val="20"/>
          <w:szCs w:val="20"/>
        </w:rPr>
        <w:t>Facilitators as Catalysts of Critical Thinking </w:t>
      </w:r>
    </w:p>
    <w:p w14:paraId="477689C7" w14:textId="3F0FBD9E" w:rsidR="003238C7" w:rsidRPr="003238C7" w:rsidRDefault="003238C7" w:rsidP="003238C7">
      <w:pPr>
        <w:rPr>
          <w:rFonts w:ascii="Aptos" w:hAnsi="Aptos"/>
          <w:sz w:val="20"/>
          <w:szCs w:val="20"/>
        </w:rPr>
      </w:pPr>
      <w:r w:rsidRPr="003238C7">
        <w:rPr>
          <w:rFonts w:ascii="Aptos" w:hAnsi="Aptos"/>
          <w:sz w:val="20"/>
          <w:szCs w:val="20"/>
        </w:rPr>
        <w:t xml:space="preserve">Facilitation quality determines discussion depth. Skilled facilitators prepare with protocol familiarity and an understanding of previous relevant risks </w:t>
      </w:r>
      <w:r w:rsidR="00053075">
        <w:rPr>
          <w:rFonts w:ascii="Aptos" w:hAnsi="Aptos"/>
          <w:sz w:val="20"/>
          <w:szCs w:val="20"/>
        </w:rPr>
        <w:t>and</w:t>
      </w:r>
      <w:r w:rsidRPr="003238C7">
        <w:rPr>
          <w:rFonts w:ascii="Aptos" w:hAnsi="Aptos"/>
          <w:sz w:val="20"/>
          <w:szCs w:val="20"/>
        </w:rPr>
        <w:t xml:space="preserve"> allow creative exploration. They balance structure and openness, ensuring inclusive dialogue focused on what matters most. Facilitators also help differentiate between operational concerns and true </w:t>
      </w:r>
      <w:r w:rsidR="00F4350D">
        <w:rPr>
          <w:rFonts w:ascii="Aptos" w:hAnsi="Aptos"/>
          <w:sz w:val="20"/>
          <w:szCs w:val="20"/>
        </w:rPr>
        <w:t>CtQ</w:t>
      </w:r>
      <w:r w:rsidRPr="003238C7">
        <w:rPr>
          <w:rFonts w:ascii="Aptos" w:hAnsi="Aptos"/>
          <w:sz w:val="20"/>
          <w:szCs w:val="20"/>
        </w:rPr>
        <w:t>s, guiding teams toward meaningful outcomes. </w:t>
      </w:r>
    </w:p>
    <w:p w14:paraId="299073AE" w14:textId="06359DC3" w:rsidR="003238C7" w:rsidRPr="003238C7" w:rsidRDefault="003238C7" w:rsidP="003238C7">
      <w:pPr>
        <w:rPr>
          <w:rFonts w:ascii="Aptos" w:hAnsi="Aptos"/>
          <w:sz w:val="20"/>
          <w:szCs w:val="20"/>
        </w:rPr>
      </w:pPr>
      <w:r w:rsidRPr="003238C7">
        <w:rPr>
          <w:rFonts w:ascii="Aptos" w:hAnsi="Aptos"/>
          <w:sz w:val="20"/>
          <w:szCs w:val="20"/>
        </w:rPr>
        <w:t>Facilitators who are embedded in the study and engaged early in protocol development- attending meetings, hearing daily operational discussions- are better positioned to connect emerging issues to the ongoing risk narrative.  They are also able to identify </w:t>
      </w:r>
      <w:r w:rsidR="00F4350D">
        <w:rPr>
          <w:rFonts w:ascii="Aptos" w:hAnsi="Aptos"/>
          <w:sz w:val="20"/>
          <w:szCs w:val="20"/>
        </w:rPr>
        <w:t>CtQ</w:t>
      </w:r>
      <w:r w:rsidRPr="003238C7">
        <w:rPr>
          <w:rFonts w:ascii="Aptos" w:hAnsi="Aptos"/>
          <w:sz w:val="20"/>
          <w:szCs w:val="20"/>
        </w:rPr>
        <w:t>s early and keep risk discussions anchored on participant safety and data reliability. </w:t>
      </w:r>
    </w:p>
    <w:p w14:paraId="7503D9D5" w14:textId="77777777" w:rsidR="00FF01F2" w:rsidRPr="00E369C3" w:rsidRDefault="00FF01F2" w:rsidP="00FF01F2">
      <w:pPr>
        <w:rPr>
          <w:rFonts w:ascii="Aptos" w:hAnsi="Aptos"/>
          <w:b/>
          <w:bCs/>
          <w:sz w:val="20"/>
          <w:szCs w:val="20"/>
        </w:rPr>
      </w:pPr>
      <w:r w:rsidRPr="00E369C3">
        <w:rPr>
          <w:rFonts w:ascii="Aptos" w:hAnsi="Aptos"/>
          <w:b/>
          <w:bCs/>
          <w:sz w:val="20"/>
          <w:szCs w:val="20"/>
        </w:rPr>
        <w:t>Pro-Tips</w:t>
      </w:r>
    </w:p>
    <w:p w14:paraId="6F3A5ECB" w14:textId="080AC375" w:rsidR="001477AB" w:rsidRDefault="00C94EB0" w:rsidP="00C94EB0">
      <w:pPr>
        <w:numPr>
          <w:ilvl w:val="0"/>
          <w:numId w:val="21"/>
        </w:numPr>
        <w:rPr>
          <w:rFonts w:ascii="Aptos" w:hAnsi="Aptos"/>
          <w:sz w:val="20"/>
          <w:szCs w:val="20"/>
        </w:rPr>
        <w:sectPr w:rsidR="001477AB" w:rsidSect="00085B7D">
          <w:footerReference w:type="default" r:id="rId18"/>
          <w:pgSz w:w="12240" w:h="15840"/>
          <w:pgMar w:top="720" w:right="720" w:bottom="720" w:left="720" w:header="720" w:footer="720" w:gutter="0"/>
          <w:cols w:space="720"/>
          <w:docGrid w:linePitch="360"/>
        </w:sectPr>
      </w:pPr>
      <w:r w:rsidRPr="00C94EB0">
        <w:rPr>
          <w:rFonts w:ascii="Aptos" w:hAnsi="Aptos"/>
          <w:sz w:val="20"/>
          <w:szCs w:val="20"/>
        </w:rPr>
        <w:t>Limit the final list of </w:t>
      </w:r>
      <w:r w:rsidR="00F4350D">
        <w:rPr>
          <w:rFonts w:ascii="Aptos" w:hAnsi="Aptos"/>
          <w:sz w:val="20"/>
          <w:szCs w:val="20"/>
        </w:rPr>
        <w:t>CtQ</w:t>
      </w:r>
      <w:r w:rsidRPr="00C94EB0">
        <w:rPr>
          <w:rFonts w:ascii="Aptos" w:hAnsi="Aptos"/>
          <w:sz w:val="20"/>
          <w:szCs w:val="20"/>
        </w:rPr>
        <w:t> factors to maintain focus. Use a concise </w:t>
      </w:r>
      <w:r w:rsidR="00F4350D">
        <w:rPr>
          <w:rFonts w:ascii="Aptos" w:hAnsi="Aptos"/>
          <w:sz w:val="20"/>
          <w:szCs w:val="20"/>
        </w:rPr>
        <w:t>CtQ</w:t>
      </w:r>
      <w:r w:rsidRPr="00C94EB0">
        <w:rPr>
          <w:rFonts w:ascii="Aptos" w:hAnsi="Aptos"/>
          <w:sz w:val="20"/>
          <w:szCs w:val="20"/>
        </w:rPr>
        <w:t> library as inspiration, not prescription. Ask: “What could compromise participant protection or endpoint credibility?” Encourage phrasing </w:t>
      </w:r>
      <w:r w:rsidR="00F4350D">
        <w:rPr>
          <w:rFonts w:ascii="Aptos" w:hAnsi="Aptos"/>
          <w:sz w:val="20"/>
          <w:szCs w:val="20"/>
        </w:rPr>
        <w:t>CtQ</w:t>
      </w:r>
      <w:r w:rsidRPr="00C94EB0">
        <w:rPr>
          <w:rFonts w:ascii="Aptos" w:hAnsi="Aptos"/>
          <w:sz w:val="20"/>
          <w:szCs w:val="20"/>
        </w:rPr>
        <w:t> as “must succeed” statements to clarify their importance. </w:t>
      </w:r>
    </w:p>
    <w:p w14:paraId="6DF11E05" w14:textId="77777777" w:rsidR="00C94EB0" w:rsidRPr="00C94EB0" w:rsidRDefault="00C94EB0" w:rsidP="00C94EB0">
      <w:pPr>
        <w:numPr>
          <w:ilvl w:val="0"/>
          <w:numId w:val="22"/>
        </w:numPr>
        <w:rPr>
          <w:rFonts w:ascii="Aptos" w:hAnsi="Aptos"/>
          <w:sz w:val="20"/>
          <w:szCs w:val="20"/>
        </w:rPr>
      </w:pPr>
      <w:r w:rsidRPr="00C94EB0">
        <w:rPr>
          <w:rFonts w:ascii="Aptos" w:hAnsi="Aptos"/>
          <w:sz w:val="20"/>
          <w:szCs w:val="20"/>
        </w:rPr>
        <w:lastRenderedPageBreak/>
        <w:t>Incorporate diverse perspectives- sites, the voice of the participant, and key vendors through direct or indirect channels.   </w:t>
      </w:r>
    </w:p>
    <w:p w14:paraId="23740A1A" w14:textId="77777777" w:rsidR="003F055E" w:rsidRPr="00E369C3" w:rsidRDefault="00C94EB0" w:rsidP="000D7885">
      <w:pPr>
        <w:numPr>
          <w:ilvl w:val="0"/>
          <w:numId w:val="23"/>
        </w:numPr>
        <w:rPr>
          <w:rFonts w:ascii="Aptos" w:eastAsia="Aptos" w:hAnsi="Aptos" w:cs="Aptos"/>
          <w:b/>
          <w:bCs/>
          <w:sz w:val="20"/>
          <w:szCs w:val="20"/>
          <w:lang w:val="it-IT"/>
        </w:rPr>
      </w:pPr>
      <w:r w:rsidRPr="00C94EB0">
        <w:rPr>
          <w:rFonts w:ascii="Aptos" w:hAnsi="Aptos"/>
          <w:sz w:val="20"/>
          <w:szCs w:val="20"/>
        </w:rPr>
        <w:t>While synchronous collaboration (live meetings) is essential for building consensus and driving real-time decisions, supplementing with asynchronous input (separate 1-1 meetings, shared documents) ensures flexibility and can support deeper reflection.  </w:t>
      </w:r>
    </w:p>
    <w:p w14:paraId="70089663" w14:textId="77777777" w:rsidR="00C201C3" w:rsidRPr="00E369C3" w:rsidRDefault="0020032C" w:rsidP="00C201C3">
      <w:pPr>
        <w:rPr>
          <w:rFonts w:ascii="Aptos" w:eastAsia="Aptos" w:hAnsi="Aptos" w:cs="Aptos"/>
          <w:b/>
          <w:bCs/>
          <w:sz w:val="20"/>
          <w:szCs w:val="20"/>
          <w:lang w:val="it-IT"/>
        </w:rPr>
      </w:pPr>
      <w:r w:rsidRPr="00E369C3">
        <w:rPr>
          <w:rFonts w:ascii="Aptos" w:eastAsia="Aptos" w:hAnsi="Aptos" w:cs="Aptos"/>
          <w:b/>
          <w:bCs/>
          <w:sz w:val="20"/>
          <w:szCs w:val="20"/>
          <w:lang w:val="it-IT"/>
        </w:rPr>
        <w:t>AI Support / Usage</w:t>
      </w:r>
    </w:p>
    <w:p w14:paraId="789EC5D8" w14:textId="172FD3C7" w:rsidR="00C201C3" w:rsidRPr="00E369C3" w:rsidRDefault="00C201C3" w:rsidP="00C201C3">
      <w:pPr>
        <w:rPr>
          <w:rFonts w:ascii="Aptos" w:eastAsia="Aptos" w:hAnsi="Aptos" w:cs="Aptos"/>
          <w:b/>
          <w:bCs/>
          <w:sz w:val="20"/>
          <w:szCs w:val="20"/>
          <w:lang w:val="it-IT"/>
        </w:rPr>
      </w:pPr>
      <w:r w:rsidRPr="00C201C3">
        <w:rPr>
          <w:rFonts w:ascii="Aptos" w:eastAsia="Aptos" w:hAnsi="Aptos" w:cs="Aptos"/>
          <w:sz w:val="20"/>
          <w:szCs w:val="20"/>
        </w:rPr>
        <w:t>AI can suggest </w:t>
      </w:r>
      <w:r w:rsidR="00F4350D">
        <w:rPr>
          <w:rFonts w:ascii="Aptos" w:eastAsia="Aptos" w:hAnsi="Aptos" w:cs="Aptos"/>
          <w:sz w:val="20"/>
          <w:szCs w:val="20"/>
        </w:rPr>
        <w:t>CtQ</w:t>
      </w:r>
      <w:r w:rsidRPr="00C201C3">
        <w:rPr>
          <w:rFonts w:ascii="Aptos" w:eastAsia="Aptos" w:hAnsi="Aptos" w:cs="Aptos"/>
          <w:sz w:val="20"/>
          <w:szCs w:val="20"/>
        </w:rPr>
        <w:t>s aligned with the protocol, scanning study objectives, endpoints, and key procedures to identify potential </w:t>
      </w:r>
      <w:r w:rsidR="00F4350D">
        <w:rPr>
          <w:rFonts w:ascii="Aptos" w:eastAsia="Aptos" w:hAnsi="Aptos" w:cs="Aptos"/>
          <w:sz w:val="20"/>
          <w:szCs w:val="20"/>
        </w:rPr>
        <w:t>CtQ</w:t>
      </w:r>
      <w:r w:rsidRPr="00C201C3">
        <w:rPr>
          <w:rFonts w:ascii="Aptos" w:eastAsia="Aptos" w:hAnsi="Aptos" w:cs="Aptos"/>
          <w:sz w:val="20"/>
          <w:szCs w:val="20"/>
        </w:rPr>
        <w:t>s or mismatches between design and risk assessment focus. It doesn’t replace discussion but accelerates preparation. </w:t>
      </w:r>
    </w:p>
    <w:p w14:paraId="74FABE3D" w14:textId="77777777" w:rsidR="00C201C3" w:rsidRPr="00E369C3" w:rsidRDefault="00C201C3" w:rsidP="00C201C3">
      <w:pPr>
        <w:rPr>
          <w:rFonts w:ascii="Aptos" w:eastAsia="Aptos" w:hAnsi="Aptos" w:cs="Aptos"/>
          <w:b/>
          <w:bCs/>
          <w:sz w:val="20"/>
          <w:szCs w:val="20"/>
          <w:lang w:val="it-IT"/>
        </w:rPr>
      </w:pPr>
      <w:r w:rsidRPr="00C201C3">
        <w:rPr>
          <w:rFonts w:ascii="Aptos" w:eastAsia="Aptos" w:hAnsi="Aptos" w:cs="Aptos"/>
          <w:sz w:val="20"/>
          <w:szCs w:val="20"/>
        </w:rPr>
        <w:t>AI agents can help bridge gaps in underrepresented functional areas by contributing ideas and perspectives that benefit the entire team. </w:t>
      </w:r>
    </w:p>
    <w:p w14:paraId="3983528B" w14:textId="77777777" w:rsidR="00C201C3" w:rsidRPr="00E369C3" w:rsidRDefault="00C201C3" w:rsidP="00C201C3">
      <w:pPr>
        <w:rPr>
          <w:rFonts w:ascii="Aptos" w:eastAsia="Aptos" w:hAnsi="Aptos" w:cs="Aptos"/>
          <w:b/>
          <w:bCs/>
          <w:sz w:val="20"/>
          <w:szCs w:val="20"/>
          <w:lang w:val="it-IT"/>
        </w:rPr>
      </w:pPr>
      <w:r w:rsidRPr="00C201C3">
        <w:rPr>
          <w:rFonts w:ascii="Aptos" w:eastAsia="Aptos" w:hAnsi="Aptos" w:cs="Aptos"/>
          <w:b/>
          <w:bCs/>
          <w:sz w:val="20"/>
          <w:szCs w:val="20"/>
        </w:rPr>
        <w:t>Working Example</w:t>
      </w:r>
      <w:r w:rsidRPr="00C201C3">
        <w:rPr>
          <w:rFonts w:ascii="Aptos" w:eastAsia="Aptos" w:hAnsi="Aptos" w:cs="Aptos"/>
          <w:sz w:val="20"/>
          <w:szCs w:val="20"/>
        </w:rPr>
        <w:t> </w:t>
      </w:r>
    </w:p>
    <w:p w14:paraId="5001A830" w14:textId="3B8E5DA4" w:rsidR="00C201C3" w:rsidRPr="00E369C3" w:rsidRDefault="00C201C3" w:rsidP="00C201C3">
      <w:pPr>
        <w:rPr>
          <w:rFonts w:ascii="Aptos" w:eastAsia="Aptos" w:hAnsi="Aptos" w:cs="Aptos"/>
          <w:b/>
          <w:bCs/>
          <w:sz w:val="20"/>
          <w:szCs w:val="20"/>
          <w:lang w:val="it-IT"/>
        </w:rPr>
      </w:pPr>
      <w:r w:rsidRPr="00C201C3">
        <w:rPr>
          <w:rFonts w:ascii="Aptos" w:eastAsia="Aptos" w:hAnsi="Aptos" w:cs="Aptos"/>
          <w:sz w:val="20"/>
          <w:szCs w:val="20"/>
        </w:rPr>
        <w:t>In a rare-disease Phase III trial, text-mining revealed deviations tied to corticosteroid tapering. The team added “stability of background regimen” as a </w:t>
      </w:r>
      <w:r w:rsidR="00F4350D">
        <w:rPr>
          <w:rFonts w:ascii="Aptos" w:eastAsia="Aptos" w:hAnsi="Aptos" w:cs="Aptos"/>
          <w:sz w:val="20"/>
          <w:szCs w:val="20"/>
        </w:rPr>
        <w:t>CtQ</w:t>
      </w:r>
      <w:r w:rsidRPr="00C201C3">
        <w:rPr>
          <w:rFonts w:ascii="Aptos" w:eastAsia="Aptos" w:hAnsi="Aptos" w:cs="Aptos"/>
          <w:sz w:val="20"/>
          <w:szCs w:val="20"/>
        </w:rPr>
        <w:t>, improving adherence and data consistency. This insight, drawn from historical data, helped the team proactively address a risk that might have been overlooked. </w:t>
      </w:r>
    </w:p>
    <w:p w14:paraId="1EEBCE82" w14:textId="77777777" w:rsidR="00C201C3" w:rsidRPr="00E369C3" w:rsidRDefault="00C201C3" w:rsidP="00C201C3">
      <w:pPr>
        <w:rPr>
          <w:rFonts w:ascii="Aptos" w:eastAsia="Aptos" w:hAnsi="Aptos" w:cs="Aptos"/>
          <w:b/>
          <w:bCs/>
          <w:sz w:val="20"/>
          <w:szCs w:val="20"/>
          <w:lang w:val="it-IT"/>
        </w:rPr>
      </w:pPr>
      <w:r w:rsidRPr="00C201C3">
        <w:rPr>
          <w:rFonts w:ascii="Aptos" w:eastAsia="Aptos" w:hAnsi="Aptos" w:cs="Aptos"/>
          <w:b/>
          <w:bCs/>
          <w:sz w:val="20"/>
          <w:szCs w:val="20"/>
          <w:lang w:val="pt-BR"/>
        </w:rPr>
        <w:t>GCP References</w:t>
      </w:r>
      <w:r w:rsidRPr="00C201C3">
        <w:rPr>
          <w:rFonts w:ascii="Aptos" w:eastAsia="Aptos" w:hAnsi="Aptos" w:cs="Aptos"/>
          <w:sz w:val="20"/>
          <w:szCs w:val="20"/>
        </w:rPr>
        <w:t> </w:t>
      </w:r>
    </w:p>
    <w:p w14:paraId="03730189" w14:textId="301E8BF4" w:rsidR="00C201C3" w:rsidRPr="00C201C3" w:rsidRDefault="00C201C3" w:rsidP="00C201C3">
      <w:pPr>
        <w:rPr>
          <w:rFonts w:ascii="Aptos" w:eastAsia="Aptos" w:hAnsi="Aptos" w:cs="Aptos"/>
          <w:b/>
          <w:bCs/>
          <w:sz w:val="20"/>
          <w:szCs w:val="20"/>
          <w:lang w:val="it-IT"/>
        </w:rPr>
      </w:pPr>
      <w:r w:rsidRPr="00C201C3">
        <w:rPr>
          <w:rFonts w:ascii="Aptos" w:eastAsia="Aptos" w:hAnsi="Aptos" w:cs="Aptos"/>
          <w:sz w:val="20"/>
          <w:szCs w:val="20"/>
          <w:lang w:val="pt-BR"/>
        </w:rPr>
        <w:t>ICH E8 (R1) §3.2; ICH E6 (R3) Part II 6.2, 7.3; ICH E6 (R3) Part III 3.1.2, 3.10, 3.11</w:t>
      </w:r>
      <w:r w:rsidRPr="00C201C3">
        <w:rPr>
          <w:rFonts w:ascii="Aptos" w:eastAsia="Aptos" w:hAnsi="Aptos" w:cs="Aptos"/>
          <w:sz w:val="20"/>
          <w:szCs w:val="20"/>
        </w:rPr>
        <w:t> </w:t>
      </w:r>
    </w:p>
    <w:p w14:paraId="116D65F0" w14:textId="77777777" w:rsidR="0020032C" w:rsidRPr="00E369C3" w:rsidRDefault="0020032C" w:rsidP="0020032C">
      <w:pPr>
        <w:pBdr>
          <w:top w:val="single" w:sz="12" w:space="0" w:color="auto"/>
        </w:pBdr>
        <w:spacing w:after="0"/>
        <w:rPr>
          <w:sz w:val="18"/>
          <w:szCs w:val="18"/>
          <w:lang w:val="pt-BR"/>
        </w:rPr>
      </w:pPr>
    </w:p>
    <w:p w14:paraId="2CEC743E" w14:textId="77777777" w:rsidR="0020032C" w:rsidRPr="00E369C3" w:rsidRDefault="0020032C" w:rsidP="0020032C">
      <w:pPr>
        <w:pStyle w:val="Heading3"/>
        <w:rPr>
          <w:sz w:val="22"/>
          <w:szCs w:val="22"/>
        </w:rPr>
      </w:pPr>
      <w:r w:rsidRPr="00E369C3">
        <w:rPr>
          <w:sz w:val="22"/>
          <w:szCs w:val="22"/>
        </w:rPr>
        <w:t>Step 3 – Risk Identification and Evaluation</w:t>
      </w:r>
    </w:p>
    <w:p w14:paraId="768EAB14" w14:textId="77777777" w:rsidR="00C2356F" w:rsidRPr="00C2356F" w:rsidRDefault="00C2356F" w:rsidP="00C2356F">
      <w:pPr>
        <w:rPr>
          <w:rFonts w:ascii="Aptos" w:hAnsi="Aptos"/>
          <w:b/>
          <w:bCs/>
          <w:sz w:val="20"/>
          <w:szCs w:val="20"/>
        </w:rPr>
      </w:pPr>
      <w:r w:rsidRPr="00C2356F">
        <w:rPr>
          <w:rFonts w:ascii="Aptos" w:hAnsi="Aptos"/>
          <w:b/>
          <w:bCs/>
          <w:sz w:val="20"/>
          <w:szCs w:val="20"/>
        </w:rPr>
        <w:t>Deeper Dive </w:t>
      </w:r>
    </w:p>
    <w:p w14:paraId="5A460285" w14:textId="469B554F" w:rsidR="00C2356F" w:rsidRPr="00C2356F" w:rsidRDefault="00C2356F" w:rsidP="00C2356F">
      <w:pPr>
        <w:rPr>
          <w:rFonts w:ascii="Aptos" w:hAnsi="Aptos"/>
          <w:sz w:val="20"/>
          <w:szCs w:val="20"/>
        </w:rPr>
      </w:pPr>
      <w:r w:rsidRPr="00C2356F">
        <w:rPr>
          <w:rFonts w:ascii="Aptos" w:hAnsi="Aptos"/>
          <w:sz w:val="20"/>
          <w:szCs w:val="20"/>
        </w:rPr>
        <w:t>With </w:t>
      </w:r>
      <w:r w:rsidR="00F4350D">
        <w:rPr>
          <w:rFonts w:ascii="Aptos" w:hAnsi="Aptos"/>
          <w:sz w:val="20"/>
          <w:szCs w:val="20"/>
        </w:rPr>
        <w:t>CtQ</w:t>
      </w:r>
      <w:r w:rsidRPr="00C2356F">
        <w:rPr>
          <w:rFonts w:ascii="Aptos" w:hAnsi="Aptos"/>
          <w:sz w:val="20"/>
          <w:szCs w:val="20"/>
        </w:rPr>
        <w:t>s defined, the team translates them into risks that are clear, prioritized, and proportionate. Risks should be phrased in a consistent format (e.g., condition–trigger–impact) to ensure clarity and traceability. The goal is to identify the few risks that could significantly impact trial outcomes or participant safety and to prioritize them for action. </w:t>
      </w:r>
    </w:p>
    <w:p w14:paraId="420F62B3" w14:textId="77777777" w:rsidR="0020032C" w:rsidRPr="00E369C3" w:rsidRDefault="0020032C" w:rsidP="0020032C">
      <w:pPr>
        <w:rPr>
          <w:rFonts w:ascii="Aptos" w:hAnsi="Aptos"/>
          <w:sz w:val="20"/>
          <w:szCs w:val="20"/>
        </w:rPr>
      </w:pPr>
      <w:r w:rsidRPr="00E369C3">
        <w:rPr>
          <w:rFonts w:ascii="Aptos" w:hAnsi="Aptos"/>
          <w:b/>
          <w:bCs/>
          <w:sz w:val="20"/>
          <w:szCs w:val="20"/>
        </w:rPr>
        <w:t>Pro-Tips</w:t>
      </w:r>
    </w:p>
    <w:p w14:paraId="6256A0C2" w14:textId="52254AC2" w:rsidR="00CE5DDE" w:rsidRDefault="007A7D3F" w:rsidP="00194287">
      <w:pPr>
        <w:pStyle w:val="ListParagraph"/>
        <w:numPr>
          <w:ilvl w:val="0"/>
          <w:numId w:val="24"/>
        </w:numPr>
        <w:spacing w:line="300" w:lineRule="atLeast"/>
        <w:rPr>
          <w:rFonts w:ascii="Aptos" w:hAnsi="Aptos"/>
          <w:color w:val="000000" w:themeColor="text1"/>
          <w:sz w:val="20"/>
          <w:szCs w:val="20"/>
        </w:rPr>
      </w:pPr>
      <w:r w:rsidRPr="007A7D3F">
        <w:rPr>
          <w:rFonts w:ascii="Aptos" w:hAnsi="Aptos"/>
          <w:color w:val="000000" w:themeColor="text1"/>
          <w:sz w:val="20"/>
          <w:szCs w:val="20"/>
        </w:rPr>
        <w:t>Establish and maintain a risk library as a deliberate starting point</w:t>
      </w:r>
      <w:r w:rsidRPr="00F07DD3">
        <w:rPr>
          <w:rFonts w:ascii="Aptos" w:hAnsi="Aptos"/>
          <w:color w:val="000000" w:themeColor="text1"/>
          <w:sz w:val="20"/>
          <w:szCs w:val="20"/>
        </w:rPr>
        <w:t xml:space="preserve">, </w:t>
      </w:r>
      <w:r w:rsidRPr="007A7D3F">
        <w:rPr>
          <w:rFonts w:ascii="Aptos" w:hAnsi="Aptos"/>
          <w:color w:val="000000" w:themeColor="text1"/>
          <w:sz w:val="20"/>
          <w:szCs w:val="20"/>
        </w:rPr>
        <w:t xml:space="preserve">not a checklist. </w:t>
      </w:r>
    </w:p>
    <w:p w14:paraId="56020A07" w14:textId="77777777" w:rsidR="00F4350D" w:rsidRPr="007A7D3F" w:rsidRDefault="00F4350D" w:rsidP="00F4350D">
      <w:pPr>
        <w:pStyle w:val="ListParagraph"/>
        <w:spacing w:line="300" w:lineRule="atLeast"/>
        <w:rPr>
          <w:rFonts w:ascii="Aptos" w:hAnsi="Aptos"/>
          <w:color w:val="000000" w:themeColor="text1"/>
          <w:sz w:val="20"/>
          <w:szCs w:val="20"/>
        </w:rPr>
      </w:pPr>
    </w:p>
    <w:p w14:paraId="6206403D" w14:textId="27ADB8C3" w:rsidR="007A7D3F" w:rsidRPr="00E369C3" w:rsidRDefault="007A7D3F" w:rsidP="007A7D3F">
      <w:pPr>
        <w:pStyle w:val="ListParagraph"/>
        <w:numPr>
          <w:ilvl w:val="0"/>
          <w:numId w:val="25"/>
        </w:numPr>
        <w:spacing w:line="300" w:lineRule="atLeast"/>
        <w:rPr>
          <w:rFonts w:ascii="Aptos" w:hAnsi="Aptos"/>
          <w:color w:val="000000" w:themeColor="text1"/>
          <w:sz w:val="20"/>
          <w:szCs w:val="20"/>
        </w:rPr>
      </w:pPr>
      <w:r w:rsidRPr="007A7D3F">
        <w:rPr>
          <w:rFonts w:ascii="Aptos" w:hAnsi="Aptos"/>
          <w:color w:val="000000" w:themeColor="text1"/>
          <w:sz w:val="20"/>
          <w:szCs w:val="20"/>
        </w:rPr>
        <w:t>Starting with the </w:t>
      </w:r>
      <w:r w:rsidR="00F4350D">
        <w:rPr>
          <w:rFonts w:ascii="Aptos" w:hAnsi="Aptos"/>
          <w:color w:val="000000" w:themeColor="text1"/>
          <w:sz w:val="20"/>
          <w:szCs w:val="20"/>
        </w:rPr>
        <w:t>CtQ</w:t>
      </w:r>
      <w:r w:rsidRPr="007A7D3F">
        <w:rPr>
          <w:rFonts w:ascii="Aptos" w:hAnsi="Aptos"/>
          <w:color w:val="000000" w:themeColor="text1"/>
          <w:sz w:val="20"/>
          <w:szCs w:val="20"/>
        </w:rPr>
        <w:t>s, draft an initial risk log based on insights from previous studies, as well as input from the risk library, using it as a starting point for team conversation. Frame risks with clear condition–trigger–impact statements.  </w:t>
      </w:r>
    </w:p>
    <w:p w14:paraId="3D45A82D" w14:textId="77777777" w:rsidR="00CE5DDE" w:rsidRPr="007A7D3F" w:rsidRDefault="00CE5DDE" w:rsidP="00CE5DDE">
      <w:pPr>
        <w:pStyle w:val="ListParagraph"/>
        <w:spacing w:line="300" w:lineRule="atLeast"/>
        <w:rPr>
          <w:rFonts w:ascii="Aptos" w:hAnsi="Aptos"/>
          <w:color w:val="000000" w:themeColor="text1"/>
          <w:sz w:val="20"/>
          <w:szCs w:val="20"/>
        </w:rPr>
      </w:pPr>
    </w:p>
    <w:p w14:paraId="24DB5108" w14:textId="35CE8C43" w:rsidR="007A7D3F" w:rsidRPr="00E369C3" w:rsidRDefault="007A7D3F" w:rsidP="007A7D3F">
      <w:pPr>
        <w:pStyle w:val="ListParagraph"/>
        <w:numPr>
          <w:ilvl w:val="0"/>
          <w:numId w:val="26"/>
        </w:numPr>
        <w:spacing w:line="300" w:lineRule="atLeast"/>
        <w:rPr>
          <w:rFonts w:ascii="Aptos" w:hAnsi="Aptos"/>
          <w:color w:val="000000" w:themeColor="text1"/>
          <w:sz w:val="20"/>
          <w:szCs w:val="20"/>
        </w:rPr>
      </w:pPr>
      <w:r w:rsidRPr="007A7D3F">
        <w:rPr>
          <w:rFonts w:ascii="Aptos" w:hAnsi="Aptos"/>
          <w:color w:val="000000" w:themeColor="text1"/>
          <w:sz w:val="20"/>
          <w:szCs w:val="20"/>
        </w:rPr>
        <w:t>Require input across all relevant</w:t>
      </w:r>
      <w:r w:rsidR="00602285">
        <w:rPr>
          <w:rFonts w:ascii="Aptos" w:hAnsi="Aptos"/>
          <w:color w:val="000000" w:themeColor="text1"/>
          <w:sz w:val="20"/>
          <w:szCs w:val="20"/>
        </w:rPr>
        <w:t>-</w:t>
      </w:r>
      <w:r w:rsidRPr="007A7D3F">
        <w:rPr>
          <w:rFonts w:ascii="Aptos" w:hAnsi="Aptos"/>
          <w:color w:val="000000" w:themeColor="text1"/>
          <w:sz w:val="20"/>
          <w:szCs w:val="20"/>
        </w:rPr>
        <w:t>to</w:t>
      </w:r>
      <w:r w:rsidR="00602285">
        <w:rPr>
          <w:rFonts w:ascii="Aptos" w:hAnsi="Aptos"/>
          <w:color w:val="000000" w:themeColor="text1"/>
          <w:sz w:val="20"/>
          <w:szCs w:val="20"/>
        </w:rPr>
        <w:t>-</w:t>
      </w:r>
      <w:r w:rsidR="00F4350D">
        <w:rPr>
          <w:rFonts w:ascii="Aptos" w:hAnsi="Aptos"/>
          <w:color w:val="000000" w:themeColor="text1"/>
          <w:sz w:val="20"/>
          <w:szCs w:val="20"/>
        </w:rPr>
        <w:t>CtQ</w:t>
      </w:r>
      <w:r w:rsidRPr="007A7D3F">
        <w:rPr>
          <w:rFonts w:ascii="Aptos" w:hAnsi="Aptos"/>
          <w:color w:val="000000" w:themeColor="text1"/>
          <w:sz w:val="20"/>
          <w:szCs w:val="20"/>
        </w:rPr>
        <w:t> functions and concentrate on scenarios that would impact </w:t>
      </w:r>
      <w:r w:rsidR="00F4350D">
        <w:rPr>
          <w:rFonts w:ascii="Aptos" w:hAnsi="Aptos"/>
          <w:color w:val="000000" w:themeColor="text1"/>
          <w:sz w:val="20"/>
          <w:szCs w:val="20"/>
        </w:rPr>
        <w:t>CtQ</w:t>
      </w:r>
      <w:r w:rsidRPr="007A7D3F">
        <w:rPr>
          <w:rFonts w:ascii="Aptos" w:hAnsi="Aptos"/>
          <w:color w:val="000000" w:themeColor="text1"/>
          <w:sz w:val="20"/>
          <w:szCs w:val="20"/>
        </w:rPr>
        <w:t>. </w:t>
      </w:r>
    </w:p>
    <w:p w14:paraId="380B5F2D" w14:textId="77777777" w:rsidR="00CE5DDE" w:rsidRPr="007A7D3F" w:rsidRDefault="00CE5DDE" w:rsidP="00CE5DDE">
      <w:pPr>
        <w:pStyle w:val="ListParagraph"/>
        <w:spacing w:line="300" w:lineRule="atLeast"/>
        <w:rPr>
          <w:rFonts w:ascii="Aptos" w:hAnsi="Aptos"/>
          <w:color w:val="000000" w:themeColor="text1"/>
          <w:sz w:val="20"/>
          <w:szCs w:val="20"/>
        </w:rPr>
      </w:pPr>
    </w:p>
    <w:p w14:paraId="0CC076D4" w14:textId="77777777" w:rsidR="007A7D3F" w:rsidRPr="007A7D3F" w:rsidRDefault="007A7D3F" w:rsidP="007A7D3F">
      <w:pPr>
        <w:pStyle w:val="ListParagraph"/>
        <w:numPr>
          <w:ilvl w:val="0"/>
          <w:numId w:val="27"/>
        </w:numPr>
        <w:spacing w:line="300" w:lineRule="atLeast"/>
        <w:rPr>
          <w:rFonts w:ascii="Aptos" w:hAnsi="Aptos"/>
          <w:color w:val="000000" w:themeColor="text1"/>
          <w:sz w:val="20"/>
          <w:szCs w:val="20"/>
        </w:rPr>
      </w:pPr>
      <w:r w:rsidRPr="007A7D3F">
        <w:rPr>
          <w:rFonts w:ascii="Aptos" w:hAnsi="Aptos"/>
          <w:color w:val="000000" w:themeColor="text1"/>
          <w:sz w:val="20"/>
          <w:szCs w:val="20"/>
        </w:rPr>
        <w:lastRenderedPageBreak/>
        <w:t>Maintain a single, unified risk log to ensure team-wide alignment and transparency. </w:t>
      </w:r>
    </w:p>
    <w:p w14:paraId="6F60029E" w14:textId="77777777" w:rsidR="0020032C" w:rsidRPr="00E369C3" w:rsidRDefault="0020032C" w:rsidP="0020032C">
      <w:pPr>
        <w:pStyle w:val="ListParagraph"/>
        <w:spacing w:after="0" w:line="300" w:lineRule="atLeast"/>
        <w:rPr>
          <w:rFonts w:ascii="Aptos" w:eastAsia="Aptos" w:hAnsi="Aptos" w:cs="Aptos"/>
          <w:sz w:val="20"/>
          <w:szCs w:val="20"/>
          <w:lang w:eastAsia="ja-JP"/>
        </w:rPr>
      </w:pPr>
    </w:p>
    <w:p w14:paraId="51514B94" w14:textId="77777777" w:rsidR="0020032C" w:rsidRPr="00E369C3" w:rsidRDefault="0020032C" w:rsidP="0020032C">
      <w:pPr>
        <w:rPr>
          <w:rFonts w:ascii="Aptos" w:hAnsi="Aptos"/>
          <w:b/>
          <w:bCs/>
          <w:sz w:val="20"/>
          <w:szCs w:val="20"/>
        </w:rPr>
      </w:pPr>
      <w:r w:rsidRPr="00E369C3">
        <w:rPr>
          <w:rFonts w:ascii="Aptos" w:hAnsi="Aptos"/>
          <w:b/>
          <w:bCs/>
          <w:sz w:val="20"/>
          <w:szCs w:val="20"/>
        </w:rPr>
        <w:t>Collaboration without Chaos</w:t>
      </w:r>
    </w:p>
    <w:p w14:paraId="7A65AFFD" w14:textId="13DE6586" w:rsidR="000C6A78" w:rsidRPr="00E369C3" w:rsidRDefault="0020032C" w:rsidP="000C6A78">
      <w:pPr>
        <w:rPr>
          <w:rFonts w:ascii="Aptos" w:eastAsia="Aptos" w:hAnsi="Aptos" w:cs="Aptos"/>
          <w:sz w:val="20"/>
          <w:szCs w:val="20"/>
        </w:rPr>
      </w:pPr>
      <w:r w:rsidRPr="00E369C3">
        <w:rPr>
          <w:rFonts w:ascii="Aptos" w:eastAsia="Aptos" w:hAnsi="Aptos" w:cs="Aptos"/>
          <w:sz w:val="20"/>
          <w:szCs w:val="20"/>
        </w:rPr>
        <w:t xml:space="preserve"> </w:t>
      </w:r>
      <w:r w:rsidR="000C6A78" w:rsidRPr="00E369C3">
        <w:rPr>
          <w:rFonts w:ascii="Aptos" w:eastAsia="Aptos" w:hAnsi="Aptos" w:cs="Aptos"/>
          <w:sz w:val="20"/>
          <w:szCs w:val="20"/>
        </w:rPr>
        <w:t>Sponsor–CRO alignment is critical for effective risk assessment. Success requires a unified process: shared logs, common language, and early expectation-setting</w:t>
      </w:r>
      <w:r w:rsidR="00E96B76">
        <w:rPr>
          <w:rFonts w:ascii="Aptos" w:eastAsia="Aptos" w:hAnsi="Aptos" w:cs="Aptos"/>
          <w:sz w:val="20"/>
          <w:szCs w:val="20"/>
        </w:rPr>
        <w:t xml:space="preserve"> </w:t>
      </w:r>
      <w:r w:rsidR="000C6A78" w:rsidRPr="00E369C3">
        <w:rPr>
          <w:rFonts w:ascii="Aptos" w:eastAsia="Aptos" w:hAnsi="Aptos" w:cs="Aptos"/>
          <w:sz w:val="20"/>
          <w:szCs w:val="20"/>
        </w:rPr>
        <w:t>with joint training to build transparency and trust. Emotional dynamics can sometimes obstruct open communication, especially when risks touch a partner’s processes. Skilled facilitation and a mindset shift toward collaboration help transform tension into productive dialogue. As one team member observed, “When the risk log becomes our shared story instead of a platform for defensiveness, teamwork thrives.” </w:t>
      </w:r>
    </w:p>
    <w:p w14:paraId="2A1D68F5" w14:textId="77777777" w:rsidR="000C6A78" w:rsidRPr="000C6A78" w:rsidRDefault="000C6A78" w:rsidP="000C6A78">
      <w:pPr>
        <w:rPr>
          <w:rFonts w:ascii="Aptos" w:eastAsia="Aptos" w:hAnsi="Aptos" w:cs="Aptos"/>
          <w:sz w:val="20"/>
          <w:szCs w:val="20"/>
        </w:rPr>
      </w:pPr>
      <w:r w:rsidRPr="000C6A78">
        <w:rPr>
          <w:rFonts w:ascii="Aptos" w:eastAsia="Aptos" w:hAnsi="Aptos" w:cs="Aptos"/>
          <w:b/>
          <w:bCs/>
          <w:sz w:val="20"/>
          <w:szCs w:val="20"/>
        </w:rPr>
        <w:t>AI Support / Usage</w:t>
      </w:r>
      <w:r w:rsidRPr="000C6A78">
        <w:rPr>
          <w:rFonts w:ascii="Aptos" w:eastAsia="Aptos" w:hAnsi="Aptos" w:cs="Aptos"/>
          <w:sz w:val="20"/>
          <w:szCs w:val="20"/>
        </w:rPr>
        <w:t> </w:t>
      </w:r>
    </w:p>
    <w:p w14:paraId="45505625" w14:textId="77777777" w:rsidR="000C6A78" w:rsidRPr="000C6A78" w:rsidRDefault="000C6A78" w:rsidP="000C6A78">
      <w:pPr>
        <w:rPr>
          <w:rFonts w:ascii="Aptos" w:eastAsia="Aptos" w:hAnsi="Aptos" w:cs="Aptos"/>
          <w:sz w:val="20"/>
          <w:szCs w:val="20"/>
        </w:rPr>
      </w:pPr>
      <w:r w:rsidRPr="000C6A78">
        <w:rPr>
          <w:rFonts w:ascii="Aptos" w:eastAsia="Aptos" w:hAnsi="Aptos" w:cs="Aptos"/>
          <w:sz w:val="20"/>
          <w:szCs w:val="20"/>
        </w:rPr>
        <w:t>AI helps ensure consistency in risk and mitigation writing. By standardizing phrasing and structure, it keeps entries clear and concise, reinforcing ICH-aligned language. Facilitators can use AI to transform long, unclear risk statements into crisp, actionable versions. </w:t>
      </w:r>
    </w:p>
    <w:p w14:paraId="3605ACCC" w14:textId="05CA7DD3" w:rsidR="000C6A78" w:rsidRPr="000C6A78" w:rsidRDefault="000C6A78" w:rsidP="000C6A78">
      <w:pPr>
        <w:rPr>
          <w:rFonts w:ascii="Aptos" w:eastAsia="Aptos" w:hAnsi="Aptos" w:cs="Aptos"/>
          <w:sz w:val="20"/>
          <w:szCs w:val="20"/>
        </w:rPr>
      </w:pPr>
      <w:r w:rsidRPr="000C6A78">
        <w:rPr>
          <w:rFonts w:ascii="Aptos" w:eastAsia="Aptos" w:hAnsi="Aptos" w:cs="Aptos"/>
          <w:sz w:val="20"/>
          <w:szCs w:val="20"/>
        </w:rPr>
        <w:t> To support risk identification, AI can draw on both internal and external data sources</w:t>
      </w:r>
      <w:r w:rsidR="006E462B" w:rsidRPr="00E369C3">
        <w:rPr>
          <w:rFonts w:ascii="Aptos" w:eastAsia="Aptos" w:hAnsi="Aptos" w:cs="Aptos"/>
          <w:sz w:val="20"/>
          <w:szCs w:val="20"/>
        </w:rPr>
        <w:t xml:space="preserve"> </w:t>
      </w:r>
      <w:r w:rsidRPr="000C6A78">
        <w:rPr>
          <w:rFonts w:ascii="Aptos" w:eastAsia="Aptos" w:hAnsi="Aptos" w:cs="Aptos"/>
          <w:sz w:val="20"/>
          <w:szCs w:val="20"/>
        </w:rPr>
        <w:t>such as historical indication</w:t>
      </w:r>
      <w:r w:rsidRPr="000C6A78">
        <w:rPr>
          <w:rFonts w:ascii="Aptos" w:eastAsia="Aptos" w:hAnsi="Aptos" w:cs="Aptos"/>
          <w:sz w:val="20"/>
          <w:szCs w:val="20"/>
        </w:rPr>
        <w:noBreakHyphen/>
        <w:t>level information, standard</w:t>
      </w:r>
      <w:r w:rsidRPr="000C6A78">
        <w:rPr>
          <w:rFonts w:ascii="Aptos" w:eastAsia="Aptos" w:hAnsi="Aptos" w:cs="Aptos"/>
          <w:sz w:val="20"/>
          <w:szCs w:val="20"/>
        </w:rPr>
        <w:noBreakHyphen/>
        <w:t>of</w:t>
      </w:r>
      <w:r w:rsidRPr="000C6A78">
        <w:rPr>
          <w:rFonts w:ascii="Aptos" w:eastAsia="Aptos" w:hAnsi="Aptos" w:cs="Aptos"/>
          <w:sz w:val="20"/>
          <w:szCs w:val="20"/>
        </w:rPr>
        <w:noBreakHyphen/>
        <w:t>care practices, and clinical trial data for the target population. </w:t>
      </w:r>
    </w:p>
    <w:p w14:paraId="12C2E268" w14:textId="4B74B8A8" w:rsidR="000C6A78" w:rsidRPr="000C6A78" w:rsidRDefault="000C6A78" w:rsidP="000C6A78">
      <w:pPr>
        <w:rPr>
          <w:rFonts w:ascii="Aptos" w:eastAsia="Aptos" w:hAnsi="Aptos" w:cs="Aptos"/>
          <w:sz w:val="20"/>
          <w:szCs w:val="20"/>
        </w:rPr>
      </w:pPr>
      <w:r w:rsidRPr="000C6A78">
        <w:rPr>
          <w:rFonts w:ascii="Aptos" w:eastAsia="Aptos" w:hAnsi="Aptos" w:cs="Aptos"/>
          <w:sz w:val="20"/>
          <w:szCs w:val="20"/>
        </w:rPr>
        <w:t>For organizations with an enterprise AI capability, the protocol, and risk and issue management documentation from similar studies can be fed to AI to help identify pertinent risks.  Similarly, for ongoing risk identification, AI can analyze protocol deviation lists, periodic team meeting minutes, sample tracking lists, etc. to spot recently discussed issues and discrepancies, which can be used as context to the relevant risks, or as new risks to add to the log. </w:t>
      </w:r>
    </w:p>
    <w:p w14:paraId="59747085" w14:textId="078AEEFB" w:rsidR="000C6A78" w:rsidRPr="000C6A78" w:rsidRDefault="000C6A78" w:rsidP="000C6A78">
      <w:pPr>
        <w:rPr>
          <w:rFonts w:ascii="Aptos" w:eastAsia="Aptos" w:hAnsi="Aptos" w:cs="Aptos"/>
          <w:sz w:val="20"/>
          <w:szCs w:val="20"/>
        </w:rPr>
      </w:pPr>
      <w:r w:rsidRPr="000C6A78">
        <w:rPr>
          <w:rFonts w:ascii="Aptos" w:eastAsia="Aptos" w:hAnsi="Aptos" w:cs="Aptos"/>
          <w:sz w:val="20"/>
          <w:szCs w:val="20"/>
        </w:rPr>
        <w:t>The working group stressed that AI is not used to make decisions</w:t>
      </w:r>
      <w:r w:rsidR="00325C12">
        <w:rPr>
          <w:rFonts w:ascii="Aptos" w:eastAsia="Aptos" w:hAnsi="Aptos" w:cs="Aptos"/>
          <w:sz w:val="20"/>
          <w:szCs w:val="20"/>
        </w:rPr>
        <w:t xml:space="preserve"> and </w:t>
      </w:r>
      <w:r w:rsidRPr="000C6A78">
        <w:rPr>
          <w:rFonts w:ascii="Aptos" w:eastAsia="Aptos" w:hAnsi="Aptos" w:cs="Aptos"/>
          <w:sz w:val="20"/>
          <w:szCs w:val="20"/>
        </w:rPr>
        <w:t>does not replace cross functional critical thinking. </w:t>
      </w:r>
    </w:p>
    <w:p w14:paraId="630D75C2" w14:textId="77777777" w:rsidR="000C6A78" w:rsidRPr="000C6A78" w:rsidRDefault="000C6A78" w:rsidP="000C6A78">
      <w:pPr>
        <w:rPr>
          <w:rFonts w:ascii="Aptos" w:eastAsia="Aptos" w:hAnsi="Aptos" w:cs="Aptos"/>
          <w:sz w:val="20"/>
          <w:szCs w:val="20"/>
        </w:rPr>
      </w:pPr>
      <w:r w:rsidRPr="000C6A78">
        <w:rPr>
          <w:rFonts w:ascii="Aptos" w:eastAsia="Aptos" w:hAnsi="Aptos" w:cs="Aptos"/>
          <w:b/>
          <w:bCs/>
          <w:sz w:val="20"/>
          <w:szCs w:val="20"/>
        </w:rPr>
        <w:t>Working Example</w:t>
      </w:r>
      <w:r w:rsidRPr="000C6A78">
        <w:rPr>
          <w:rFonts w:ascii="Aptos" w:eastAsia="Aptos" w:hAnsi="Aptos" w:cs="Aptos"/>
          <w:sz w:val="20"/>
          <w:szCs w:val="20"/>
        </w:rPr>
        <w:t> </w:t>
      </w:r>
    </w:p>
    <w:p w14:paraId="166B6C58" w14:textId="77777777" w:rsidR="000C6A78" w:rsidRPr="000C6A78" w:rsidRDefault="000C6A78" w:rsidP="000C6A78">
      <w:pPr>
        <w:rPr>
          <w:rFonts w:ascii="Aptos" w:eastAsia="Aptos" w:hAnsi="Aptos" w:cs="Aptos"/>
          <w:sz w:val="20"/>
          <w:szCs w:val="20"/>
        </w:rPr>
      </w:pPr>
      <w:r w:rsidRPr="000C6A78">
        <w:rPr>
          <w:rFonts w:ascii="Aptos" w:eastAsia="Aptos" w:hAnsi="Aptos" w:cs="Aptos"/>
          <w:sz w:val="20"/>
          <w:szCs w:val="20"/>
        </w:rPr>
        <w:t>One sponsor–CRO pair created a shared log and reviewed monthly. Duplicate risks were dropped, and decisions were made faster due to joint visibility. The shared platform also allowed real-time updates and comments, improving responsiveness and collaboration. </w:t>
      </w:r>
    </w:p>
    <w:p w14:paraId="32282FC8" w14:textId="77777777" w:rsidR="000C6A78" w:rsidRPr="000C6A78" w:rsidRDefault="000C6A78" w:rsidP="000C6A78">
      <w:pPr>
        <w:rPr>
          <w:rFonts w:ascii="Aptos" w:eastAsia="Aptos" w:hAnsi="Aptos" w:cs="Aptos"/>
          <w:sz w:val="20"/>
          <w:szCs w:val="20"/>
        </w:rPr>
      </w:pPr>
      <w:r w:rsidRPr="000C6A78">
        <w:rPr>
          <w:rFonts w:ascii="Aptos" w:eastAsia="Aptos" w:hAnsi="Aptos" w:cs="Aptos"/>
          <w:b/>
          <w:bCs/>
          <w:sz w:val="20"/>
          <w:szCs w:val="20"/>
          <w:lang w:val="pt-BR"/>
        </w:rPr>
        <w:t>GCP References</w:t>
      </w:r>
      <w:r w:rsidRPr="000C6A78">
        <w:rPr>
          <w:rFonts w:ascii="Aptos" w:eastAsia="Aptos" w:hAnsi="Aptos" w:cs="Aptos"/>
          <w:sz w:val="20"/>
          <w:szCs w:val="20"/>
        </w:rPr>
        <w:t> </w:t>
      </w:r>
    </w:p>
    <w:p w14:paraId="4ABDCDE4" w14:textId="77777777" w:rsidR="000C6A78" w:rsidRPr="000C6A78" w:rsidRDefault="000C6A78" w:rsidP="000C6A78">
      <w:pPr>
        <w:rPr>
          <w:rFonts w:ascii="Aptos" w:eastAsia="Aptos" w:hAnsi="Aptos" w:cs="Aptos"/>
          <w:sz w:val="20"/>
          <w:szCs w:val="20"/>
        </w:rPr>
      </w:pPr>
      <w:r w:rsidRPr="000C6A78">
        <w:rPr>
          <w:rFonts w:ascii="Aptos" w:eastAsia="Aptos" w:hAnsi="Aptos" w:cs="Aptos"/>
          <w:sz w:val="20"/>
          <w:szCs w:val="20"/>
          <w:lang w:val="pt-BR"/>
        </w:rPr>
        <w:t>ICH E6 (R3) Part III 3.10.1, 3.10.1.2</w:t>
      </w:r>
      <w:r w:rsidRPr="000C6A78">
        <w:rPr>
          <w:rFonts w:ascii="Aptos" w:eastAsia="Aptos" w:hAnsi="Aptos" w:cs="Aptos"/>
          <w:sz w:val="20"/>
          <w:szCs w:val="20"/>
        </w:rPr>
        <w:t> </w:t>
      </w:r>
    </w:p>
    <w:p w14:paraId="4E60BDC5" w14:textId="1641A271" w:rsidR="0020032C" w:rsidRPr="00E369C3" w:rsidRDefault="00CC619D" w:rsidP="000C6A78">
      <w:pPr>
        <w:rPr>
          <w:sz w:val="18"/>
          <w:szCs w:val="18"/>
          <w:lang w:val="pt-BR"/>
        </w:rPr>
      </w:pPr>
      <w:r w:rsidRPr="00E369C3">
        <w:rPr>
          <w:noProof/>
          <w:sz w:val="18"/>
          <w:szCs w:val="18"/>
          <w:lang w:val="pt-BR"/>
        </w:rPr>
        <mc:AlternateContent>
          <mc:Choice Requires="wps">
            <w:drawing>
              <wp:anchor distT="0" distB="0" distL="114300" distR="114300" simplePos="0" relativeHeight="251658241" behindDoc="0" locked="0" layoutInCell="1" allowOverlap="1" wp14:anchorId="6F01769B" wp14:editId="13C8447F">
                <wp:simplePos x="0" y="0"/>
                <wp:positionH relativeFrom="column">
                  <wp:posOffset>-12700</wp:posOffset>
                </wp:positionH>
                <wp:positionV relativeFrom="paragraph">
                  <wp:posOffset>52070</wp:posOffset>
                </wp:positionV>
                <wp:extent cx="5810250" cy="6350"/>
                <wp:effectExtent l="0" t="0" r="19050" b="31750"/>
                <wp:wrapNone/>
                <wp:docPr id="1451496559" name="Straight Connector 2"/>
                <wp:cNvGraphicFramePr/>
                <a:graphic xmlns:a="http://schemas.openxmlformats.org/drawingml/2006/main">
                  <a:graphicData uri="http://schemas.microsoft.com/office/word/2010/wordprocessingShape">
                    <wps:wsp>
                      <wps:cNvCnPr/>
                      <wps:spPr>
                        <a:xfrm flipV="1">
                          <a:off x="0" y="0"/>
                          <a:ext cx="581025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7129FDE">
              <v:line id="Straight Connector 2" style="position:absolute;flip:y;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pt,4.1pt" to="456.5pt,4.6pt" w14:anchorId="31F80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"/>
            </w:pict>
          </mc:Fallback>
        </mc:AlternateContent>
      </w:r>
    </w:p>
    <w:p w14:paraId="705D0D59" w14:textId="77777777" w:rsidR="0020032C" w:rsidRPr="00E369C3" w:rsidRDefault="0020032C" w:rsidP="0020032C">
      <w:pPr>
        <w:pStyle w:val="Heading3"/>
        <w:rPr>
          <w:sz w:val="22"/>
          <w:szCs w:val="22"/>
        </w:rPr>
      </w:pPr>
      <w:r w:rsidRPr="00E369C3">
        <w:rPr>
          <w:sz w:val="22"/>
          <w:szCs w:val="22"/>
        </w:rPr>
        <w:t>Step 4 – Risk Control and Mitigation Planning</w:t>
      </w:r>
    </w:p>
    <w:p w14:paraId="3CD606EB" w14:textId="77777777" w:rsidR="0020032C" w:rsidRPr="00E369C3" w:rsidRDefault="0020032C" w:rsidP="0020032C">
      <w:pPr>
        <w:rPr>
          <w:rFonts w:ascii="Aptos" w:hAnsi="Aptos"/>
          <w:sz w:val="20"/>
          <w:szCs w:val="20"/>
        </w:rPr>
      </w:pPr>
      <w:r w:rsidRPr="00E369C3">
        <w:rPr>
          <w:rFonts w:ascii="Aptos" w:hAnsi="Aptos"/>
          <w:b/>
          <w:bCs/>
          <w:sz w:val="20"/>
          <w:szCs w:val="20"/>
        </w:rPr>
        <w:t>Deeper Dive</w:t>
      </w:r>
    </w:p>
    <w:p w14:paraId="15F662AC" w14:textId="77777777" w:rsidR="00587CA9" w:rsidRPr="00587CA9" w:rsidRDefault="00587CA9" w:rsidP="00587CA9">
      <w:pPr>
        <w:rPr>
          <w:rFonts w:ascii="Aptos" w:hAnsi="Aptos"/>
          <w:sz w:val="20"/>
          <w:szCs w:val="20"/>
        </w:rPr>
      </w:pPr>
      <w:r w:rsidRPr="00587CA9">
        <w:rPr>
          <w:rFonts w:ascii="Aptos" w:hAnsi="Aptos"/>
          <w:sz w:val="20"/>
          <w:szCs w:val="20"/>
        </w:rPr>
        <w:t>Mitigation planning operationalizes insight. Consistent with the ICH E6(R3) risk</w:t>
      </w:r>
      <w:r w:rsidRPr="00587CA9">
        <w:rPr>
          <w:rFonts w:ascii="Aptos" w:hAnsi="Aptos"/>
          <w:sz w:val="20"/>
          <w:szCs w:val="20"/>
        </w:rPr>
        <w:noBreakHyphen/>
        <w:t xml:space="preserve">based quality management principles, risks requiring mitigation should have documented controls, assigned owners, and measurable indicators, while risks assessed as low may be formally accepted without implementation of controls. Mitigations must be proportionate to the risk severity and likelihood, and they should be embedded into functional workflows and plans. Clear ownership and success criteria are </w:t>
      </w:r>
      <w:r w:rsidRPr="00587CA9">
        <w:rPr>
          <w:rFonts w:ascii="Aptos" w:hAnsi="Aptos"/>
          <w:sz w:val="20"/>
          <w:szCs w:val="20"/>
        </w:rPr>
        <w:lastRenderedPageBreak/>
        <w:t>essential for accountability. </w:t>
      </w:r>
    </w:p>
    <w:p w14:paraId="7EBC1CD9" w14:textId="77777777" w:rsidR="0020032C" w:rsidRPr="00E369C3" w:rsidRDefault="0020032C" w:rsidP="0020032C">
      <w:pPr>
        <w:rPr>
          <w:rFonts w:ascii="Aptos" w:hAnsi="Aptos"/>
          <w:b/>
          <w:bCs/>
          <w:sz w:val="20"/>
          <w:szCs w:val="20"/>
        </w:rPr>
      </w:pPr>
      <w:r w:rsidRPr="00E369C3">
        <w:rPr>
          <w:rFonts w:ascii="Aptos" w:hAnsi="Aptos"/>
          <w:b/>
          <w:bCs/>
          <w:sz w:val="20"/>
          <w:szCs w:val="20"/>
        </w:rPr>
        <w:t>Pro-Tips</w:t>
      </w:r>
    </w:p>
    <w:p w14:paraId="3996F6C5" w14:textId="075766D0" w:rsidR="00587CA9" w:rsidRPr="00587CA9" w:rsidRDefault="00587CA9" w:rsidP="00587CA9">
      <w:pPr>
        <w:numPr>
          <w:ilvl w:val="0"/>
          <w:numId w:val="28"/>
        </w:numPr>
        <w:rPr>
          <w:rFonts w:ascii="Aptos" w:hAnsi="Aptos"/>
          <w:sz w:val="20"/>
          <w:szCs w:val="20"/>
        </w:rPr>
      </w:pPr>
      <w:r w:rsidRPr="00587CA9">
        <w:rPr>
          <w:rFonts w:ascii="Aptos" w:hAnsi="Aptos"/>
          <w:sz w:val="20"/>
          <w:szCs w:val="20"/>
        </w:rPr>
        <w:t xml:space="preserve">Use shared trackers and align mitigations directly to risks and functional plans. Many working-group members use the integrated quality risk management plan for this- listing </w:t>
      </w:r>
      <w:r w:rsidR="00F4350D">
        <w:rPr>
          <w:rFonts w:ascii="Aptos" w:hAnsi="Aptos"/>
          <w:sz w:val="20"/>
          <w:szCs w:val="20"/>
        </w:rPr>
        <w:t>CtQ</w:t>
      </w:r>
      <w:r w:rsidRPr="00587CA9">
        <w:rPr>
          <w:rFonts w:ascii="Aptos" w:hAnsi="Aptos"/>
          <w:sz w:val="20"/>
          <w:szCs w:val="20"/>
        </w:rPr>
        <w:t>, related risks, and planned controls.  To take a step farther, some are moving toward unified data review and monitoring plans.  </w:t>
      </w:r>
    </w:p>
    <w:p w14:paraId="6F85ADF8" w14:textId="3AA1343B" w:rsidR="00587CA9" w:rsidRPr="00587CA9" w:rsidRDefault="00587CA9" w:rsidP="00587CA9">
      <w:pPr>
        <w:numPr>
          <w:ilvl w:val="0"/>
          <w:numId w:val="29"/>
        </w:numPr>
        <w:rPr>
          <w:rFonts w:ascii="Aptos" w:hAnsi="Aptos"/>
          <w:sz w:val="20"/>
          <w:szCs w:val="20"/>
        </w:rPr>
      </w:pPr>
      <w:r w:rsidRPr="00587CA9">
        <w:rPr>
          <w:rFonts w:ascii="Aptos" w:hAnsi="Aptos"/>
          <w:sz w:val="20"/>
          <w:szCs w:val="20"/>
        </w:rPr>
        <w:t>Mitigations should be </w:t>
      </w:r>
      <w:r w:rsidR="00AA3643" w:rsidRPr="00E369C3">
        <w:rPr>
          <w:rFonts w:ascii="Aptos" w:hAnsi="Aptos"/>
          <w:sz w:val="20"/>
          <w:szCs w:val="20"/>
        </w:rPr>
        <w:t>risk proportionate</w:t>
      </w:r>
      <w:r w:rsidRPr="00587CA9">
        <w:rPr>
          <w:rFonts w:ascii="Aptos" w:hAnsi="Aptos"/>
          <w:sz w:val="20"/>
          <w:szCs w:val="20"/>
        </w:rPr>
        <w:t>.  Low risks may be accepted without control. Leadership should review high-priority items regularly to reinforce accountability. </w:t>
      </w:r>
    </w:p>
    <w:p w14:paraId="766FEB17" w14:textId="77777777" w:rsidR="00587CA9" w:rsidRPr="00587CA9" w:rsidRDefault="00587CA9" w:rsidP="00587CA9">
      <w:pPr>
        <w:numPr>
          <w:ilvl w:val="0"/>
          <w:numId w:val="30"/>
        </w:numPr>
        <w:rPr>
          <w:rFonts w:ascii="Aptos" w:hAnsi="Aptos"/>
          <w:sz w:val="20"/>
          <w:szCs w:val="20"/>
        </w:rPr>
      </w:pPr>
      <w:r w:rsidRPr="00587CA9">
        <w:rPr>
          <w:rFonts w:ascii="Aptos" w:hAnsi="Aptos"/>
          <w:sz w:val="20"/>
          <w:szCs w:val="20"/>
        </w:rPr>
        <w:t>Where feasible, link mitigations to resource and budget planning to support implementation.   </w:t>
      </w:r>
    </w:p>
    <w:p w14:paraId="3E9AD60E" w14:textId="3BD97FDB" w:rsidR="00587CA9" w:rsidRPr="00587CA9" w:rsidRDefault="00587CA9" w:rsidP="00587CA9">
      <w:pPr>
        <w:numPr>
          <w:ilvl w:val="0"/>
          <w:numId w:val="31"/>
        </w:numPr>
        <w:rPr>
          <w:rFonts w:ascii="Aptos" w:hAnsi="Aptos"/>
          <w:sz w:val="20"/>
          <w:szCs w:val="20"/>
        </w:rPr>
      </w:pPr>
      <w:r w:rsidRPr="00587CA9">
        <w:rPr>
          <w:rFonts w:ascii="Aptos" w:hAnsi="Aptos"/>
          <w:sz w:val="20"/>
          <w:szCs w:val="20"/>
        </w:rPr>
        <w:t>Define success metrics (e.g., KRIs or QTLs or other </w:t>
      </w:r>
      <w:r w:rsidR="004D465E">
        <w:rPr>
          <w:rFonts w:ascii="Aptos" w:hAnsi="Aptos"/>
          <w:sz w:val="20"/>
          <w:szCs w:val="20"/>
        </w:rPr>
        <w:t>m</w:t>
      </w:r>
      <w:r w:rsidRPr="00587CA9">
        <w:rPr>
          <w:rFonts w:ascii="Aptos" w:hAnsi="Aptos"/>
          <w:sz w:val="20"/>
          <w:szCs w:val="20"/>
        </w:rPr>
        <w:t>onitoring</w:t>
      </w:r>
      <w:r w:rsidR="00CD0E30">
        <w:rPr>
          <w:rFonts w:ascii="Aptos" w:hAnsi="Aptos"/>
          <w:sz w:val="20"/>
          <w:szCs w:val="20"/>
        </w:rPr>
        <w:t>/review</w:t>
      </w:r>
      <w:r w:rsidRPr="00587CA9">
        <w:rPr>
          <w:rFonts w:ascii="Aptos" w:hAnsi="Aptos"/>
          <w:sz w:val="20"/>
          <w:szCs w:val="20"/>
        </w:rPr>
        <w:t> strategy) for each mitigation.  </w:t>
      </w:r>
    </w:p>
    <w:p w14:paraId="5512A4EF" w14:textId="1D6D3291" w:rsidR="00587CA9" w:rsidRPr="00587CA9" w:rsidRDefault="00CD0E30" w:rsidP="00587CA9">
      <w:pPr>
        <w:numPr>
          <w:ilvl w:val="0"/>
          <w:numId w:val="32"/>
        </w:numPr>
        <w:rPr>
          <w:rFonts w:ascii="Aptos" w:hAnsi="Aptos"/>
          <w:sz w:val="20"/>
          <w:szCs w:val="20"/>
        </w:rPr>
      </w:pPr>
      <w:r>
        <w:rPr>
          <w:rFonts w:ascii="Aptos" w:hAnsi="Aptos"/>
          <w:sz w:val="20"/>
          <w:szCs w:val="20"/>
        </w:rPr>
        <w:t>Aggregate</w:t>
      </w:r>
      <w:r w:rsidR="00587CA9" w:rsidRPr="00587CA9">
        <w:rPr>
          <w:rFonts w:ascii="Aptos" w:hAnsi="Aptos"/>
          <w:sz w:val="20"/>
          <w:szCs w:val="20"/>
        </w:rPr>
        <w:t xml:space="preserve"> data to understand trends within and / across study risks.  </w:t>
      </w:r>
    </w:p>
    <w:p w14:paraId="26FA593C" w14:textId="77777777" w:rsidR="0020032C" w:rsidRPr="00E369C3" w:rsidRDefault="0020032C" w:rsidP="0020032C">
      <w:pPr>
        <w:rPr>
          <w:rFonts w:ascii="Aptos" w:eastAsia="Aptos" w:hAnsi="Aptos" w:cs="Aptos"/>
          <w:b/>
          <w:bCs/>
          <w:sz w:val="20"/>
          <w:szCs w:val="20"/>
        </w:rPr>
      </w:pPr>
      <w:r w:rsidRPr="00E369C3">
        <w:rPr>
          <w:rFonts w:ascii="Aptos" w:eastAsia="Aptos" w:hAnsi="Aptos" w:cs="Aptos"/>
          <w:b/>
          <w:bCs/>
          <w:sz w:val="20"/>
          <w:szCs w:val="20"/>
        </w:rPr>
        <w:t>AI Support / Usage</w:t>
      </w:r>
    </w:p>
    <w:p w14:paraId="7A765331" w14:textId="62FE04B4" w:rsidR="00091FAE" w:rsidRPr="00E369C3" w:rsidRDefault="00091FAE" w:rsidP="0020032C">
      <w:pPr>
        <w:rPr>
          <w:rFonts w:ascii="Aptos" w:eastAsia="Aptos" w:hAnsi="Aptos" w:cs="Aptos"/>
          <w:sz w:val="20"/>
          <w:szCs w:val="20"/>
        </w:rPr>
      </w:pPr>
      <w:r w:rsidRPr="00E369C3">
        <w:rPr>
          <w:rFonts w:ascii="Aptos" w:eastAsia="Aptos" w:hAnsi="Aptos" w:cs="Aptos"/>
          <w:sz w:val="20"/>
          <w:szCs w:val="20"/>
        </w:rPr>
        <w:t>AI can assist during mitigation planning by detecting duplicate or overlapping controls within the single shared risk log, suggest owners based on historical patterns, and generating summaries of risks to keep discussions focused. AI can also recommend mitigations based on industry best practices, help with benchmarking by comparing proposed controls to those used in similar trials, and flag gaps or opportunities for improvement. Additionally, AI can identify and predict emerging risks and controls by scanning new publications, inspection findings and regulatory updates, helping teams keep their risk management strategy current and proactive. </w:t>
      </w:r>
    </w:p>
    <w:p w14:paraId="032237F9" w14:textId="77777777" w:rsidR="00AD577D" w:rsidRPr="00E369C3" w:rsidRDefault="0020032C" w:rsidP="00AD577D">
      <w:pPr>
        <w:rPr>
          <w:rFonts w:ascii="Aptos" w:hAnsi="Aptos"/>
          <w:sz w:val="20"/>
          <w:szCs w:val="20"/>
        </w:rPr>
      </w:pPr>
      <w:r w:rsidRPr="00E369C3">
        <w:rPr>
          <w:rFonts w:ascii="Aptos" w:hAnsi="Aptos"/>
          <w:b/>
          <w:bCs/>
          <w:sz w:val="20"/>
          <w:szCs w:val="20"/>
        </w:rPr>
        <w:t>Working Example</w:t>
      </w:r>
    </w:p>
    <w:p w14:paraId="5629FE34" w14:textId="77777777" w:rsidR="00AD577D" w:rsidRPr="00E369C3" w:rsidRDefault="00AD577D" w:rsidP="00AD577D">
      <w:pPr>
        <w:rPr>
          <w:rFonts w:ascii="Aptos" w:hAnsi="Aptos"/>
          <w:sz w:val="20"/>
          <w:szCs w:val="20"/>
        </w:rPr>
      </w:pPr>
      <w:r w:rsidRPr="00AD577D">
        <w:rPr>
          <w:rFonts w:ascii="Aptos" w:hAnsi="Aptos"/>
          <w:sz w:val="20"/>
          <w:szCs w:val="20"/>
        </w:rPr>
        <w:t>In an oncology study, the team implemented an integrated mitigation tracker that linked data management and monitoring activities. This approach improved traceability by highlighting inconsistencies between operational plans and risk logs early in the process. The tracker also exposed gaps in ownership, prompting timely updates and reinforcing accountability. As a result, inspection readiness improved, and both sponsor and CRO teams maintained alignment throughout the study. </w:t>
      </w:r>
    </w:p>
    <w:p w14:paraId="59BF1DAB" w14:textId="77777777" w:rsidR="00AD577D" w:rsidRPr="00E369C3" w:rsidRDefault="00AD577D" w:rsidP="00AD577D">
      <w:pPr>
        <w:rPr>
          <w:rFonts w:ascii="Aptos" w:hAnsi="Aptos"/>
          <w:sz w:val="20"/>
          <w:szCs w:val="20"/>
        </w:rPr>
      </w:pPr>
      <w:r w:rsidRPr="00AD577D">
        <w:rPr>
          <w:rFonts w:ascii="Aptos" w:hAnsi="Aptos"/>
          <w:b/>
          <w:bCs/>
          <w:sz w:val="20"/>
          <w:szCs w:val="20"/>
          <w:lang w:val="pt-BR"/>
        </w:rPr>
        <w:t>GCP References</w:t>
      </w:r>
      <w:r w:rsidRPr="00AD577D">
        <w:rPr>
          <w:rFonts w:ascii="Aptos" w:hAnsi="Aptos"/>
          <w:sz w:val="20"/>
          <w:szCs w:val="20"/>
        </w:rPr>
        <w:t> </w:t>
      </w:r>
    </w:p>
    <w:p w14:paraId="2B9F3EA8" w14:textId="11328258" w:rsidR="00AD577D" w:rsidRPr="00AD577D" w:rsidRDefault="00AD577D" w:rsidP="00AD577D">
      <w:pPr>
        <w:rPr>
          <w:rFonts w:ascii="Aptos" w:hAnsi="Aptos"/>
          <w:sz w:val="20"/>
          <w:szCs w:val="20"/>
        </w:rPr>
      </w:pPr>
      <w:r w:rsidRPr="00AD577D">
        <w:rPr>
          <w:rFonts w:ascii="Aptos" w:hAnsi="Aptos"/>
          <w:sz w:val="20"/>
          <w:szCs w:val="20"/>
          <w:lang w:val="pt-BR"/>
        </w:rPr>
        <w:t>ICH E6 (R3) Part III 3.10.1.3</w:t>
      </w:r>
      <w:r w:rsidRPr="00AD577D">
        <w:rPr>
          <w:rFonts w:ascii="Aptos" w:hAnsi="Aptos"/>
          <w:sz w:val="20"/>
          <w:szCs w:val="20"/>
        </w:rPr>
        <w:t> </w:t>
      </w:r>
    </w:p>
    <w:p w14:paraId="13556072" w14:textId="77777777" w:rsidR="0020032C" w:rsidRPr="00E369C3" w:rsidRDefault="0020032C" w:rsidP="0020032C">
      <w:pPr>
        <w:pBdr>
          <w:top w:val="single" w:sz="12" w:space="0" w:color="auto"/>
        </w:pBdr>
        <w:spacing w:after="0"/>
        <w:rPr>
          <w:sz w:val="18"/>
          <w:szCs w:val="18"/>
          <w:lang w:val="pt-BR"/>
        </w:rPr>
      </w:pPr>
    </w:p>
    <w:p w14:paraId="4D61BF38" w14:textId="77777777" w:rsidR="0020032C" w:rsidRPr="00E369C3" w:rsidRDefault="0020032C" w:rsidP="0020032C">
      <w:pPr>
        <w:pStyle w:val="Heading3"/>
        <w:rPr>
          <w:sz w:val="22"/>
          <w:szCs w:val="22"/>
        </w:rPr>
      </w:pPr>
      <w:r w:rsidRPr="00E369C3">
        <w:rPr>
          <w:sz w:val="22"/>
          <w:szCs w:val="22"/>
        </w:rPr>
        <w:t>Step 5 – Integration with Functional Plans</w:t>
      </w:r>
    </w:p>
    <w:p w14:paraId="39F19DF6" w14:textId="77777777" w:rsidR="0020032C" w:rsidRPr="00E369C3" w:rsidRDefault="0020032C" w:rsidP="0020032C">
      <w:pPr>
        <w:rPr>
          <w:rFonts w:ascii="Aptos" w:hAnsi="Aptos"/>
          <w:sz w:val="20"/>
          <w:szCs w:val="20"/>
        </w:rPr>
      </w:pPr>
      <w:r w:rsidRPr="00E369C3">
        <w:rPr>
          <w:rFonts w:ascii="Aptos" w:hAnsi="Aptos"/>
          <w:b/>
          <w:bCs/>
          <w:sz w:val="20"/>
          <w:szCs w:val="20"/>
        </w:rPr>
        <w:t>Deeper Dive</w:t>
      </w:r>
    </w:p>
    <w:p w14:paraId="577E2CFE" w14:textId="3356D383" w:rsidR="00FE743D" w:rsidRPr="00FE743D" w:rsidRDefault="00FE743D" w:rsidP="00FE743D">
      <w:pPr>
        <w:rPr>
          <w:rFonts w:ascii="Aptos" w:hAnsi="Aptos"/>
          <w:sz w:val="20"/>
          <w:szCs w:val="20"/>
        </w:rPr>
      </w:pPr>
      <w:r w:rsidRPr="00FE743D">
        <w:rPr>
          <w:rFonts w:ascii="Aptos" w:hAnsi="Aptos"/>
          <w:sz w:val="20"/>
          <w:szCs w:val="20"/>
        </w:rPr>
        <w:t xml:space="preserve">Risk assessment adds value only when mitigations flow into applicable </w:t>
      </w:r>
      <w:r w:rsidR="00BD30A1">
        <w:rPr>
          <w:rFonts w:ascii="Aptos" w:hAnsi="Aptos"/>
          <w:sz w:val="20"/>
          <w:szCs w:val="20"/>
        </w:rPr>
        <w:t>study</w:t>
      </w:r>
      <w:r w:rsidRPr="00FE743D">
        <w:rPr>
          <w:rFonts w:ascii="Aptos" w:hAnsi="Aptos"/>
          <w:sz w:val="20"/>
          <w:szCs w:val="20"/>
        </w:rPr>
        <w:t> plans. Integration ensures that risk controls are executed, not just documented. Plans should reflect study-specific mitigations and monitoring</w:t>
      </w:r>
      <w:r w:rsidR="00813B10">
        <w:rPr>
          <w:rFonts w:ascii="Aptos" w:hAnsi="Aptos"/>
          <w:sz w:val="20"/>
          <w:szCs w:val="20"/>
        </w:rPr>
        <w:t xml:space="preserve">/review </w:t>
      </w:r>
      <w:r w:rsidRPr="00FE743D">
        <w:rPr>
          <w:rFonts w:ascii="Aptos" w:hAnsi="Aptos"/>
          <w:sz w:val="20"/>
          <w:szCs w:val="20"/>
        </w:rPr>
        <w:t xml:space="preserve">strategies driven by risk assessment, not </w:t>
      </w:r>
      <w:r w:rsidR="006C48C2">
        <w:rPr>
          <w:rFonts w:ascii="Aptos" w:hAnsi="Aptos"/>
          <w:sz w:val="20"/>
          <w:szCs w:val="20"/>
        </w:rPr>
        <w:t xml:space="preserve">only </w:t>
      </w:r>
      <w:r w:rsidRPr="00FE743D">
        <w:rPr>
          <w:rFonts w:ascii="Aptos" w:hAnsi="Aptos"/>
          <w:sz w:val="20"/>
          <w:szCs w:val="20"/>
        </w:rPr>
        <w:t>standard procedures. </w:t>
      </w:r>
    </w:p>
    <w:p w14:paraId="2ECEA234" w14:textId="77777777" w:rsidR="0020032C" w:rsidRPr="00E369C3" w:rsidRDefault="0020032C" w:rsidP="0020032C">
      <w:pPr>
        <w:rPr>
          <w:rFonts w:ascii="Aptos" w:hAnsi="Aptos"/>
          <w:sz w:val="20"/>
          <w:szCs w:val="20"/>
        </w:rPr>
      </w:pPr>
      <w:r w:rsidRPr="00E369C3">
        <w:rPr>
          <w:rFonts w:ascii="Aptos" w:hAnsi="Aptos"/>
          <w:b/>
          <w:bCs/>
          <w:sz w:val="20"/>
          <w:szCs w:val="20"/>
        </w:rPr>
        <w:lastRenderedPageBreak/>
        <w:t>Pro-Tips</w:t>
      </w:r>
    </w:p>
    <w:p w14:paraId="08C905D1" w14:textId="5EE622BF" w:rsidR="00FE743D" w:rsidRPr="00FE743D" w:rsidRDefault="00FE743D" w:rsidP="00FE743D">
      <w:pPr>
        <w:numPr>
          <w:ilvl w:val="0"/>
          <w:numId w:val="33"/>
        </w:numPr>
        <w:rPr>
          <w:rFonts w:ascii="Aptos" w:hAnsi="Aptos"/>
          <w:sz w:val="20"/>
          <w:szCs w:val="20"/>
        </w:rPr>
      </w:pPr>
      <w:r w:rsidRPr="00FE743D">
        <w:rPr>
          <w:rFonts w:ascii="Aptos" w:hAnsi="Aptos"/>
          <w:sz w:val="20"/>
          <w:szCs w:val="20"/>
        </w:rPr>
        <w:t>Maintain a cross-reference matrix linking </w:t>
      </w:r>
      <w:r w:rsidR="00F4350D">
        <w:rPr>
          <w:rFonts w:ascii="Aptos" w:hAnsi="Aptos"/>
          <w:sz w:val="20"/>
          <w:szCs w:val="20"/>
        </w:rPr>
        <w:t>CtQ</w:t>
      </w:r>
      <w:r w:rsidRPr="00FE743D">
        <w:rPr>
          <w:rFonts w:ascii="Aptos" w:hAnsi="Aptos"/>
          <w:sz w:val="20"/>
          <w:szCs w:val="20"/>
        </w:rPr>
        <w:t> → Risk → Mitigation → Review Strategy → Plan Section. Conduct alignment checks before plan sign-off.  </w:t>
      </w:r>
    </w:p>
    <w:p w14:paraId="22F0CE3D" w14:textId="77777777" w:rsidR="00FE743D" w:rsidRPr="00FE743D" w:rsidRDefault="00FE743D" w:rsidP="00FE743D">
      <w:pPr>
        <w:numPr>
          <w:ilvl w:val="0"/>
          <w:numId w:val="34"/>
        </w:numPr>
        <w:rPr>
          <w:rFonts w:ascii="Aptos" w:hAnsi="Aptos"/>
          <w:sz w:val="20"/>
          <w:szCs w:val="20"/>
        </w:rPr>
      </w:pPr>
      <w:r w:rsidRPr="00FE743D">
        <w:rPr>
          <w:rFonts w:ascii="Aptos" w:hAnsi="Aptos"/>
          <w:sz w:val="20"/>
          <w:szCs w:val="20"/>
        </w:rPr>
        <w:t>Keep plans concise and reference, rather than repeat, global SOPs where possible. </w:t>
      </w:r>
    </w:p>
    <w:p w14:paraId="0B24AD31" w14:textId="77777777" w:rsidR="00FE743D" w:rsidRPr="00FE743D" w:rsidRDefault="00FE743D" w:rsidP="00FE743D">
      <w:pPr>
        <w:numPr>
          <w:ilvl w:val="0"/>
          <w:numId w:val="35"/>
        </w:numPr>
        <w:rPr>
          <w:rFonts w:ascii="Aptos" w:hAnsi="Aptos"/>
          <w:sz w:val="20"/>
          <w:szCs w:val="20"/>
        </w:rPr>
      </w:pPr>
      <w:r w:rsidRPr="00FE743D">
        <w:rPr>
          <w:rFonts w:ascii="Aptos" w:hAnsi="Aptos"/>
          <w:sz w:val="20"/>
          <w:szCs w:val="20"/>
        </w:rPr>
        <w:t>If a risk mitigation requires the update of a plan, ensure the plan update is clearly actioned and followed through to resolution. </w:t>
      </w:r>
    </w:p>
    <w:p w14:paraId="0E289B71" w14:textId="77777777" w:rsidR="00CF1E8E" w:rsidRPr="00E369C3" w:rsidRDefault="0020032C" w:rsidP="00CF1E8E">
      <w:pPr>
        <w:rPr>
          <w:rFonts w:ascii="Aptos" w:hAnsi="Aptos"/>
          <w:sz w:val="20"/>
          <w:szCs w:val="20"/>
        </w:rPr>
      </w:pPr>
      <w:r w:rsidRPr="00E369C3">
        <w:rPr>
          <w:rFonts w:ascii="Aptos" w:hAnsi="Aptos"/>
          <w:b/>
          <w:bCs/>
          <w:sz w:val="20"/>
          <w:szCs w:val="20"/>
        </w:rPr>
        <w:t>Working Example</w:t>
      </w:r>
    </w:p>
    <w:p w14:paraId="1A14083E" w14:textId="77777777" w:rsidR="00CF1E8E" w:rsidRPr="00E369C3" w:rsidRDefault="006218DB" w:rsidP="00CF1E8E">
      <w:pPr>
        <w:rPr>
          <w:rFonts w:ascii="Aptos" w:hAnsi="Aptos"/>
          <w:sz w:val="20"/>
          <w:szCs w:val="20"/>
        </w:rPr>
      </w:pPr>
      <w:r w:rsidRPr="006218DB">
        <w:rPr>
          <w:rFonts w:ascii="Aptos" w:hAnsi="Aptos"/>
          <w:sz w:val="20"/>
          <w:szCs w:val="20"/>
        </w:rPr>
        <w:t>During a review of the draft Data Management Plan, the team identified that several risk-driven mitigations were missing. Addressing these gaps early prevented a repeat audit finding. To strengthen clarity and inspection readiness, the team also introduced a summary table in each functional plan outlining risk-based actions, ensuring consistent implementation across all functions. </w:t>
      </w:r>
    </w:p>
    <w:p w14:paraId="0615E0EB" w14:textId="77777777" w:rsidR="00CF1E8E" w:rsidRPr="00E369C3" w:rsidRDefault="006218DB" w:rsidP="00CF1E8E">
      <w:pPr>
        <w:rPr>
          <w:rFonts w:ascii="Aptos" w:hAnsi="Aptos"/>
          <w:sz w:val="20"/>
          <w:szCs w:val="20"/>
        </w:rPr>
      </w:pPr>
      <w:r w:rsidRPr="006218DB">
        <w:rPr>
          <w:rFonts w:ascii="Aptos" w:hAnsi="Aptos"/>
          <w:b/>
          <w:bCs/>
          <w:sz w:val="20"/>
          <w:szCs w:val="20"/>
        </w:rPr>
        <w:t>AI Support / Usage</w:t>
      </w:r>
      <w:r w:rsidRPr="006218DB">
        <w:rPr>
          <w:rFonts w:ascii="Aptos" w:hAnsi="Aptos"/>
          <w:sz w:val="20"/>
          <w:szCs w:val="20"/>
        </w:rPr>
        <w:t> </w:t>
      </w:r>
    </w:p>
    <w:p w14:paraId="3E940661" w14:textId="77777777" w:rsidR="00CF1E8E" w:rsidRPr="00E369C3" w:rsidRDefault="006218DB" w:rsidP="00CF1E8E">
      <w:pPr>
        <w:rPr>
          <w:rFonts w:ascii="Aptos" w:hAnsi="Aptos"/>
          <w:sz w:val="20"/>
          <w:szCs w:val="20"/>
        </w:rPr>
      </w:pPr>
      <w:r w:rsidRPr="006218DB">
        <w:rPr>
          <w:rFonts w:ascii="Aptos" w:hAnsi="Aptos"/>
          <w:sz w:val="20"/>
          <w:szCs w:val="20"/>
        </w:rPr>
        <w:t>AI can validate that mitigations from the unified risk log are correctly reflected in functional plans.  AI can also monitor updates to the risk log and alert teams when plans need revision. </w:t>
      </w:r>
    </w:p>
    <w:p w14:paraId="6A509EAA" w14:textId="77777777" w:rsidR="00CF1E8E" w:rsidRPr="00E369C3" w:rsidRDefault="006218DB" w:rsidP="00CF1E8E">
      <w:pPr>
        <w:rPr>
          <w:rFonts w:ascii="Aptos" w:hAnsi="Aptos"/>
          <w:sz w:val="20"/>
          <w:szCs w:val="20"/>
        </w:rPr>
      </w:pPr>
      <w:r w:rsidRPr="006218DB">
        <w:rPr>
          <w:rFonts w:ascii="Aptos" w:hAnsi="Aptos"/>
          <w:b/>
          <w:bCs/>
          <w:sz w:val="20"/>
          <w:szCs w:val="20"/>
          <w:lang w:val="pt-BR"/>
        </w:rPr>
        <w:t>GCP References</w:t>
      </w:r>
      <w:r w:rsidRPr="006218DB">
        <w:rPr>
          <w:rFonts w:ascii="Aptos" w:hAnsi="Aptos"/>
          <w:sz w:val="20"/>
          <w:szCs w:val="20"/>
        </w:rPr>
        <w:t> </w:t>
      </w:r>
    </w:p>
    <w:p w14:paraId="40CFAA46" w14:textId="147BBEBA" w:rsidR="006218DB" w:rsidRPr="006218DB" w:rsidRDefault="006218DB" w:rsidP="00CF1E8E">
      <w:pPr>
        <w:rPr>
          <w:rFonts w:ascii="Aptos" w:hAnsi="Aptos"/>
          <w:sz w:val="20"/>
          <w:szCs w:val="20"/>
        </w:rPr>
      </w:pPr>
      <w:r w:rsidRPr="006218DB">
        <w:rPr>
          <w:rFonts w:ascii="Aptos" w:hAnsi="Aptos"/>
          <w:sz w:val="20"/>
          <w:szCs w:val="20"/>
          <w:lang w:val="pt-BR"/>
        </w:rPr>
        <w:t>ICH E6 (R3) Part III 3.10.1.3</w:t>
      </w:r>
    </w:p>
    <w:p w14:paraId="660C9D67" w14:textId="77777777" w:rsidR="0020032C" w:rsidRPr="00E369C3" w:rsidRDefault="0020032C" w:rsidP="0020032C">
      <w:pPr>
        <w:pBdr>
          <w:top w:val="single" w:sz="12" w:space="0" w:color="auto"/>
        </w:pBdr>
        <w:spacing w:after="0"/>
        <w:rPr>
          <w:sz w:val="18"/>
          <w:szCs w:val="18"/>
          <w:lang w:val="pt-BR"/>
        </w:rPr>
      </w:pPr>
    </w:p>
    <w:p w14:paraId="0CFF5D93" w14:textId="77777777" w:rsidR="0020032C" w:rsidRPr="00E369C3" w:rsidRDefault="0020032C" w:rsidP="0020032C">
      <w:pPr>
        <w:pStyle w:val="Heading3"/>
        <w:rPr>
          <w:sz w:val="22"/>
          <w:szCs w:val="22"/>
        </w:rPr>
      </w:pPr>
      <w:r w:rsidRPr="00E369C3">
        <w:rPr>
          <w:sz w:val="22"/>
          <w:szCs w:val="22"/>
        </w:rPr>
        <w:t>Step 6 – Ongoing Oversight and Continuous Improvement</w:t>
      </w:r>
    </w:p>
    <w:p w14:paraId="3BB58C1F" w14:textId="77777777" w:rsidR="0020032C" w:rsidRPr="00E369C3" w:rsidRDefault="0020032C" w:rsidP="0020032C">
      <w:pPr>
        <w:rPr>
          <w:rFonts w:ascii="Aptos" w:hAnsi="Aptos"/>
          <w:sz w:val="20"/>
          <w:szCs w:val="20"/>
        </w:rPr>
      </w:pPr>
      <w:r w:rsidRPr="00E369C3">
        <w:rPr>
          <w:rFonts w:ascii="Aptos" w:hAnsi="Aptos"/>
          <w:b/>
          <w:bCs/>
          <w:sz w:val="20"/>
          <w:szCs w:val="20"/>
        </w:rPr>
        <w:t>Deeper Dive</w:t>
      </w:r>
    </w:p>
    <w:p w14:paraId="034D33DC" w14:textId="77777777" w:rsidR="00251774" w:rsidRPr="00251774" w:rsidRDefault="00251774" w:rsidP="00251774">
      <w:pPr>
        <w:rPr>
          <w:rFonts w:ascii="Aptos" w:hAnsi="Aptos"/>
          <w:sz w:val="20"/>
          <w:szCs w:val="20"/>
        </w:rPr>
      </w:pPr>
      <w:r w:rsidRPr="00251774">
        <w:rPr>
          <w:rFonts w:ascii="Aptos" w:hAnsi="Aptos"/>
          <w:sz w:val="20"/>
          <w:szCs w:val="20"/>
        </w:rPr>
        <w:t>Strong teams continuously focus on critical to quality, evaluating whether mitigations remain relevant and effective. Risk logs should be revisited regularly, and new risks should be added as the study progresses. Continuous improvement requires feedback loops and learning systems. </w:t>
      </w:r>
    </w:p>
    <w:p w14:paraId="45510AFB" w14:textId="77777777" w:rsidR="0020032C" w:rsidRPr="00E369C3" w:rsidRDefault="0020032C" w:rsidP="0020032C">
      <w:pPr>
        <w:rPr>
          <w:rFonts w:ascii="Aptos" w:hAnsi="Aptos"/>
          <w:sz w:val="20"/>
          <w:szCs w:val="20"/>
        </w:rPr>
      </w:pPr>
      <w:r w:rsidRPr="00E369C3">
        <w:rPr>
          <w:rFonts w:ascii="Aptos" w:hAnsi="Aptos"/>
          <w:b/>
          <w:bCs/>
          <w:sz w:val="20"/>
          <w:szCs w:val="20"/>
        </w:rPr>
        <w:t>Pro-Tips</w:t>
      </w:r>
    </w:p>
    <w:p w14:paraId="4F6FD181" w14:textId="41CAFC31" w:rsidR="00251774" w:rsidRPr="00251774" w:rsidRDefault="00251774" w:rsidP="00251774">
      <w:pPr>
        <w:numPr>
          <w:ilvl w:val="0"/>
          <w:numId w:val="36"/>
        </w:numPr>
        <w:rPr>
          <w:rFonts w:ascii="Aptos" w:hAnsi="Aptos"/>
          <w:sz w:val="20"/>
          <w:szCs w:val="20"/>
        </w:rPr>
      </w:pPr>
      <w:r w:rsidRPr="00251774">
        <w:rPr>
          <w:rFonts w:ascii="Aptos" w:hAnsi="Aptos"/>
          <w:sz w:val="20"/>
          <w:szCs w:val="20"/>
        </w:rPr>
        <w:t>Assess mitigation effectiveness, learn</w:t>
      </w:r>
      <w:r w:rsidR="00B57787" w:rsidRPr="00E369C3">
        <w:rPr>
          <w:rFonts w:ascii="Aptos" w:hAnsi="Aptos"/>
          <w:sz w:val="20"/>
          <w:szCs w:val="20"/>
        </w:rPr>
        <w:t>,</w:t>
      </w:r>
      <w:r w:rsidRPr="00251774">
        <w:rPr>
          <w:rFonts w:ascii="Aptos" w:hAnsi="Aptos"/>
          <w:sz w:val="20"/>
          <w:szCs w:val="20"/>
        </w:rPr>
        <w:t xml:space="preserve"> and adapt without attachment to the original plan. </w:t>
      </w:r>
    </w:p>
    <w:p w14:paraId="0FC51F01" w14:textId="77777777" w:rsidR="00251774" w:rsidRPr="00251774" w:rsidRDefault="00251774" w:rsidP="00251774">
      <w:pPr>
        <w:numPr>
          <w:ilvl w:val="0"/>
          <w:numId w:val="37"/>
        </w:numPr>
        <w:rPr>
          <w:rFonts w:ascii="Aptos" w:hAnsi="Aptos"/>
          <w:sz w:val="20"/>
          <w:szCs w:val="20"/>
        </w:rPr>
      </w:pPr>
      <w:r w:rsidRPr="00251774">
        <w:rPr>
          <w:rFonts w:ascii="Aptos" w:hAnsi="Aptos"/>
          <w:sz w:val="20"/>
          <w:szCs w:val="20"/>
        </w:rPr>
        <w:t>Complete reviews of the risk assessment on a regular cadence documented in appropriate study plan. </w:t>
      </w:r>
    </w:p>
    <w:p w14:paraId="18431460" w14:textId="77777777" w:rsidR="00251774" w:rsidRPr="00251774" w:rsidRDefault="00251774" w:rsidP="00251774">
      <w:pPr>
        <w:numPr>
          <w:ilvl w:val="0"/>
          <w:numId w:val="38"/>
        </w:numPr>
        <w:rPr>
          <w:rFonts w:ascii="Aptos" w:hAnsi="Aptos"/>
          <w:sz w:val="20"/>
          <w:szCs w:val="20"/>
        </w:rPr>
      </w:pPr>
      <w:r w:rsidRPr="00251774">
        <w:rPr>
          <w:rFonts w:ascii="Aptos" w:hAnsi="Aptos"/>
          <w:sz w:val="20"/>
          <w:szCs w:val="20"/>
        </w:rPr>
        <w:t>Use dashboards to track KRIs, QTLs, and mitigation outcomes.  </w:t>
      </w:r>
    </w:p>
    <w:p w14:paraId="60716464" w14:textId="77777777" w:rsidR="00251774" w:rsidRPr="00251774" w:rsidRDefault="00251774" w:rsidP="00251774">
      <w:pPr>
        <w:numPr>
          <w:ilvl w:val="0"/>
          <w:numId w:val="39"/>
        </w:numPr>
        <w:rPr>
          <w:rFonts w:ascii="Aptos" w:hAnsi="Aptos"/>
          <w:sz w:val="20"/>
          <w:szCs w:val="20"/>
        </w:rPr>
      </w:pPr>
      <w:r w:rsidRPr="00251774">
        <w:rPr>
          <w:rFonts w:ascii="Aptos" w:hAnsi="Aptos"/>
          <w:sz w:val="20"/>
          <w:szCs w:val="20"/>
        </w:rPr>
        <w:t>Enable portfolio-level learning to identify systemic themes.  </w:t>
      </w:r>
    </w:p>
    <w:p w14:paraId="79252F09" w14:textId="77777777" w:rsidR="00251774" w:rsidRPr="00251774" w:rsidRDefault="00251774" w:rsidP="00251774">
      <w:pPr>
        <w:numPr>
          <w:ilvl w:val="0"/>
          <w:numId w:val="40"/>
        </w:numPr>
        <w:rPr>
          <w:rFonts w:ascii="Aptos" w:hAnsi="Aptos"/>
          <w:sz w:val="20"/>
          <w:szCs w:val="20"/>
        </w:rPr>
      </w:pPr>
      <w:r w:rsidRPr="00251774">
        <w:rPr>
          <w:rFonts w:ascii="Aptos" w:hAnsi="Aptos"/>
          <w:sz w:val="20"/>
          <w:szCs w:val="20"/>
        </w:rPr>
        <w:t>Document lessons learned and feed them into future risk assessments and training. </w:t>
      </w:r>
    </w:p>
    <w:p w14:paraId="239961DC" w14:textId="77777777" w:rsidR="00274E77" w:rsidRPr="00E369C3" w:rsidRDefault="00274E77" w:rsidP="00274E77">
      <w:pPr>
        <w:pStyle w:val="paragraph"/>
        <w:spacing w:before="0" w:beforeAutospacing="0" w:after="0" w:afterAutospacing="0"/>
        <w:textAlignment w:val="baseline"/>
        <w:rPr>
          <w:rFonts w:ascii="Segoe UI" w:hAnsi="Segoe UI" w:cs="Segoe UI"/>
          <w:sz w:val="14"/>
          <w:szCs w:val="14"/>
        </w:rPr>
      </w:pPr>
      <w:r w:rsidRPr="00E369C3">
        <w:rPr>
          <w:rStyle w:val="normaltextrun"/>
          <w:rFonts w:ascii="Aptos" w:hAnsi="Aptos" w:cs="Segoe UI"/>
          <w:b/>
          <w:bCs/>
          <w:sz w:val="20"/>
          <w:szCs w:val="20"/>
        </w:rPr>
        <w:lastRenderedPageBreak/>
        <w:t>Building a Culture of Proportionate Quality</w:t>
      </w:r>
      <w:r w:rsidRPr="00E369C3">
        <w:rPr>
          <w:rStyle w:val="eop"/>
          <w:rFonts w:ascii="Aptos" w:hAnsi="Aptos" w:cs="Segoe UI"/>
          <w:sz w:val="20"/>
          <w:szCs w:val="20"/>
        </w:rPr>
        <w:t> </w:t>
      </w:r>
    </w:p>
    <w:p w14:paraId="2189EEAB" w14:textId="3067C4EA" w:rsidR="00274E77" w:rsidRPr="00E369C3" w:rsidRDefault="00274E77" w:rsidP="00274E77">
      <w:pPr>
        <w:pStyle w:val="paragraph"/>
        <w:spacing w:before="0" w:beforeAutospacing="0" w:after="0" w:afterAutospacing="0"/>
        <w:textAlignment w:val="baseline"/>
        <w:rPr>
          <w:rStyle w:val="normaltextrun"/>
          <w:rFonts w:ascii="Aptos" w:hAnsi="Aptos" w:cs="Segoe UI"/>
          <w:sz w:val="20"/>
          <w:szCs w:val="20"/>
        </w:rPr>
      </w:pPr>
      <w:r w:rsidRPr="00E369C3">
        <w:rPr>
          <w:rStyle w:val="normaltextrun"/>
          <w:rFonts w:ascii="Aptos" w:hAnsi="Aptos" w:cs="Segoe UI"/>
          <w:sz w:val="20"/>
          <w:szCs w:val="20"/>
        </w:rPr>
        <w:t>Sustainable success depends on</w:t>
      </w:r>
      <w:r w:rsidRPr="00E369C3">
        <w:rPr>
          <w:rStyle w:val="normaltextrun"/>
          <w:rFonts w:ascii="Aptos" w:hAnsi="Aptos" w:cs="Segoe UI"/>
          <w:color w:val="333333"/>
          <w:sz w:val="20"/>
          <w:szCs w:val="20"/>
        </w:rPr>
        <w:t> </w:t>
      </w:r>
      <w:r w:rsidRPr="00E369C3">
        <w:rPr>
          <w:rStyle w:val="normaltextrun"/>
          <w:rFonts w:ascii="Aptos" w:hAnsi="Aptos" w:cs="Segoe UI"/>
          <w:sz w:val="20"/>
          <w:szCs w:val="20"/>
        </w:rPr>
        <w:t>a sound culture of collaboration and excellence. ICH E6 (R3) formalizes expectations for proportionate quality management, but true transformation happens at the cultural level. Teams need permission to prioritize, to focus on what truly matters. Oversight should focus not just on completion but on effectiveness. Effectiveness checks that evaluate whether mitigations worked,</w:t>
      </w:r>
      <w:r w:rsidR="009526D1">
        <w:rPr>
          <w:rStyle w:val="normaltextrun"/>
          <w:rFonts w:ascii="Aptos" w:hAnsi="Aptos" w:cs="Segoe UI"/>
          <w:sz w:val="20"/>
          <w:szCs w:val="20"/>
        </w:rPr>
        <w:t xml:space="preserve"> </w:t>
      </w:r>
      <w:r w:rsidRPr="00E369C3">
        <w:rPr>
          <w:rStyle w:val="normaltextrun"/>
          <w:rFonts w:ascii="Aptos" w:hAnsi="Aptos" w:cs="Segoe UI"/>
          <w:sz w:val="20"/>
          <w:szCs w:val="20"/>
        </w:rPr>
        <w:t>rather than whether they were documented,</w:t>
      </w:r>
      <w:r w:rsidR="009526D1">
        <w:rPr>
          <w:rStyle w:val="normaltextrun"/>
          <w:rFonts w:ascii="Aptos" w:hAnsi="Aptos" w:cs="Segoe UI"/>
          <w:sz w:val="20"/>
          <w:szCs w:val="20"/>
        </w:rPr>
        <w:t xml:space="preserve"> </w:t>
      </w:r>
      <w:r w:rsidRPr="00E369C3">
        <w:rPr>
          <w:rStyle w:val="normaltextrun"/>
          <w:rFonts w:ascii="Aptos" w:hAnsi="Aptos" w:cs="Segoe UI"/>
          <w:sz w:val="20"/>
          <w:szCs w:val="20"/>
        </w:rPr>
        <w:t>reinforce ICH E6 (R3)’s intent of continuous improvement. Leadership should model curiosity and responsiveness to risk signals.</w:t>
      </w:r>
    </w:p>
    <w:p w14:paraId="4E4C09D1" w14:textId="4ED020DF" w:rsidR="00274E77" w:rsidRPr="00E369C3" w:rsidRDefault="00274E77" w:rsidP="00274E77">
      <w:pPr>
        <w:pStyle w:val="paragraph"/>
        <w:spacing w:before="0" w:beforeAutospacing="0" w:after="0" w:afterAutospacing="0"/>
        <w:textAlignment w:val="baseline"/>
        <w:rPr>
          <w:rFonts w:ascii="Segoe UI" w:hAnsi="Segoe UI" w:cs="Segoe UI"/>
          <w:sz w:val="14"/>
          <w:szCs w:val="14"/>
        </w:rPr>
      </w:pPr>
      <w:r w:rsidRPr="00E369C3">
        <w:rPr>
          <w:rStyle w:val="eop"/>
          <w:rFonts w:ascii="Aptos" w:hAnsi="Aptos" w:cs="Segoe UI"/>
          <w:sz w:val="20"/>
          <w:szCs w:val="20"/>
        </w:rPr>
        <w:t> </w:t>
      </w:r>
    </w:p>
    <w:p w14:paraId="5621690C" w14:textId="77777777" w:rsidR="00274E77" w:rsidRPr="00E369C3" w:rsidRDefault="00274E77" w:rsidP="00274E77">
      <w:pPr>
        <w:pStyle w:val="paragraph"/>
        <w:spacing w:before="0" w:beforeAutospacing="0" w:after="0" w:afterAutospacing="0"/>
        <w:textAlignment w:val="baseline"/>
        <w:rPr>
          <w:rFonts w:ascii="Segoe UI" w:hAnsi="Segoe UI" w:cs="Segoe UI"/>
          <w:sz w:val="14"/>
          <w:szCs w:val="14"/>
        </w:rPr>
      </w:pPr>
      <w:r w:rsidRPr="00E369C3">
        <w:rPr>
          <w:rStyle w:val="normaltextrun"/>
          <w:rFonts w:ascii="Aptos" w:hAnsi="Aptos" w:cs="Segoe UI"/>
          <w:b/>
          <w:bCs/>
          <w:sz w:val="20"/>
          <w:szCs w:val="20"/>
        </w:rPr>
        <w:t>AI Support / Usage</w:t>
      </w:r>
      <w:r w:rsidRPr="00E369C3">
        <w:rPr>
          <w:rStyle w:val="eop"/>
          <w:rFonts w:ascii="Aptos" w:hAnsi="Aptos" w:cs="Segoe UI"/>
          <w:sz w:val="20"/>
          <w:szCs w:val="20"/>
        </w:rPr>
        <w:t> </w:t>
      </w:r>
    </w:p>
    <w:p w14:paraId="5AC7CE32" w14:textId="77777777" w:rsidR="00274E77" w:rsidRPr="00E03709" w:rsidRDefault="00274E77" w:rsidP="00274E77">
      <w:pPr>
        <w:pStyle w:val="paragraph"/>
        <w:spacing w:before="0" w:beforeAutospacing="0" w:after="0" w:afterAutospacing="0"/>
        <w:textAlignment w:val="baseline"/>
        <w:rPr>
          <w:rFonts w:ascii="Aptos" w:hAnsi="Aptos" w:cs="Segoe UI"/>
          <w:sz w:val="14"/>
          <w:szCs w:val="14"/>
        </w:rPr>
      </w:pPr>
      <w:r w:rsidRPr="00E369C3">
        <w:rPr>
          <w:rStyle w:val="normaltextrun"/>
          <w:rFonts w:ascii="Aptos" w:hAnsi="Aptos" w:cs="Segoe UI"/>
          <w:sz w:val="20"/>
          <w:szCs w:val="20"/>
        </w:rPr>
        <w:t>AI can aggregate and visualize cross-study risk data, identify trends, and flag recurring control failures. It can also analyze text from monitoring visit reports to surface early indicators of emerging issues. </w:t>
      </w:r>
      <w:r w:rsidRPr="00E03709">
        <w:rPr>
          <w:rStyle w:val="normaltextrun"/>
          <w:rFonts w:ascii="Aptos" w:hAnsi="Aptos" w:cs="Calibri"/>
          <w:sz w:val="20"/>
          <w:szCs w:val="20"/>
        </w:rPr>
        <w:t>AI can also support the risk</w:t>
      </w:r>
      <w:r w:rsidRPr="00E03709">
        <w:rPr>
          <w:rStyle w:val="normaltextrun"/>
          <w:rFonts w:ascii="Aptos" w:hAnsi="Aptos" w:cs="Calibri"/>
          <w:sz w:val="20"/>
          <w:szCs w:val="20"/>
        </w:rPr>
        <w:noBreakHyphen/>
        <w:t>revision process by reviewing meeting minutes to surface updates, decisions, or emerging signals that may warrant changes to existing risks, as reflected in internal guidance emphasizing the use of meeting minutes during risk status evaluation. AI can support ongoing risk review by scanning governance notes (e.g., meeting minutes, action logs) to highlight new signals, recurring issues, or decisions that may require updates to existing risks/mitigations, and to prompt follow-up discussion. This complements internal guidance emphasizing routine documentation as an input to continuous risk evaluation.</w:t>
      </w:r>
      <w:r w:rsidRPr="00E03709">
        <w:rPr>
          <w:rStyle w:val="eop"/>
          <w:rFonts w:ascii="Aptos" w:hAnsi="Aptos" w:cs="Calibri"/>
          <w:sz w:val="20"/>
          <w:szCs w:val="20"/>
        </w:rPr>
        <w:t> </w:t>
      </w:r>
    </w:p>
    <w:p w14:paraId="67BC5DB6" w14:textId="77777777" w:rsidR="00274E77" w:rsidRPr="00E369C3" w:rsidRDefault="00274E77" w:rsidP="00274E77">
      <w:pPr>
        <w:pStyle w:val="paragraph"/>
        <w:spacing w:before="0" w:beforeAutospacing="0" w:after="0" w:afterAutospacing="0"/>
        <w:textAlignment w:val="baseline"/>
        <w:rPr>
          <w:rStyle w:val="normaltextrun"/>
          <w:rFonts w:ascii="Aptos" w:hAnsi="Aptos" w:cs="Segoe UI"/>
          <w:b/>
          <w:bCs/>
          <w:sz w:val="20"/>
          <w:szCs w:val="20"/>
        </w:rPr>
      </w:pPr>
    </w:p>
    <w:p w14:paraId="3E3E3007" w14:textId="4395DFED" w:rsidR="00274E77" w:rsidRPr="00E369C3" w:rsidRDefault="00274E77" w:rsidP="00274E77">
      <w:pPr>
        <w:pStyle w:val="paragraph"/>
        <w:spacing w:before="0" w:beforeAutospacing="0" w:after="0" w:afterAutospacing="0"/>
        <w:textAlignment w:val="baseline"/>
        <w:rPr>
          <w:rFonts w:ascii="Segoe UI" w:hAnsi="Segoe UI" w:cs="Segoe UI"/>
          <w:sz w:val="14"/>
          <w:szCs w:val="14"/>
        </w:rPr>
      </w:pPr>
      <w:r w:rsidRPr="00E369C3">
        <w:rPr>
          <w:rStyle w:val="normaltextrun"/>
          <w:rFonts w:ascii="Aptos" w:hAnsi="Aptos" w:cs="Segoe UI"/>
          <w:b/>
          <w:bCs/>
          <w:sz w:val="20"/>
          <w:szCs w:val="20"/>
        </w:rPr>
        <w:t>Working Example</w:t>
      </w:r>
      <w:r w:rsidRPr="00E369C3">
        <w:rPr>
          <w:rStyle w:val="eop"/>
          <w:rFonts w:ascii="Aptos" w:hAnsi="Aptos" w:cs="Segoe UI"/>
          <w:sz w:val="20"/>
          <w:szCs w:val="20"/>
        </w:rPr>
        <w:t> </w:t>
      </w:r>
    </w:p>
    <w:p w14:paraId="72C54A8A" w14:textId="77777777" w:rsidR="00274E77" w:rsidRPr="00E369C3" w:rsidRDefault="00274E77" w:rsidP="00274E77">
      <w:pPr>
        <w:pStyle w:val="paragraph"/>
        <w:spacing w:before="0" w:beforeAutospacing="0" w:after="0" w:afterAutospacing="0"/>
        <w:textAlignment w:val="baseline"/>
        <w:rPr>
          <w:rFonts w:ascii="Segoe UI" w:hAnsi="Segoe UI" w:cs="Segoe UI"/>
          <w:sz w:val="14"/>
          <w:szCs w:val="14"/>
        </w:rPr>
      </w:pPr>
      <w:r w:rsidRPr="00E369C3">
        <w:rPr>
          <w:rStyle w:val="normaltextrun"/>
          <w:rFonts w:ascii="Aptos" w:hAnsi="Aptos" w:cs="Segoe UI"/>
          <w:sz w:val="20"/>
          <w:szCs w:val="20"/>
        </w:rPr>
        <w:t>One organization linked audit findings to its RBQM dashboard, allowing recurring issues to be addressed proactively and shared across programs. This closed the loop between oversight and improvement, demonstrating maturity in quality management.</w:t>
      </w:r>
      <w:r w:rsidRPr="00E369C3">
        <w:rPr>
          <w:rStyle w:val="eop"/>
          <w:rFonts w:ascii="Aptos" w:hAnsi="Aptos" w:cs="Segoe UI"/>
          <w:sz w:val="20"/>
          <w:szCs w:val="20"/>
        </w:rPr>
        <w:t> </w:t>
      </w:r>
    </w:p>
    <w:p w14:paraId="598A1003" w14:textId="77777777" w:rsidR="00274E77" w:rsidRPr="00E369C3" w:rsidRDefault="00274E77" w:rsidP="00274E77">
      <w:pPr>
        <w:pStyle w:val="paragraph"/>
        <w:spacing w:before="0" w:beforeAutospacing="0" w:after="0" w:afterAutospacing="0"/>
        <w:textAlignment w:val="baseline"/>
        <w:rPr>
          <w:rStyle w:val="normaltextrun"/>
          <w:rFonts w:ascii="Aptos" w:hAnsi="Aptos" w:cs="Segoe UI"/>
          <w:b/>
          <w:bCs/>
          <w:sz w:val="20"/>
          <w:szCs w:val="20"/>
          <w:lang w:val="pt-BR"/>
        </w:rPr>
      </w:pPr>
    </w:p>
    <w:p w14:paraId="15C993B6" w14:textId="40640E6C" w:rsidR="00274E77" w:rsidRPr="00E369C3" w:rsidRDefault="00274E77" w:rsidP="00274E77">
      <w:pPr>
        <w:pStyle w:val="paragraph"/>
        <w:spacing w:before="0" w:beforeAutospacing="0" w:after="0" w:afterAutospacing="0"/>
        <w:textAlignment w:val="baseline"/>
        <w:rPr>
          <w:rFonts w:ascii="Segoe UI" w:hAnsi="Segoe UI" w:cs="Segoe UI"/>
          <w:sz w:val="14"/>
          <w:szCs w:val="14"/>
        </w:rPr>
      </w:pPr>
      <w:r w:rsidRPr="00E369C3">
        <w:rPr>
          <w:rStyle w:val="normaltextrun"/>
          <w:rFonts w:ascii="Aptos" w:hAnsi="Aptos" w:cs="Segoe UI"/>
          <w:b/>
          <w:bCs/>
          <w:sz w:val="20"/>
          <w:szCs w:val="20"/>
          <w:lang w:val="pt-BR"/>
        </w:rPr>
        <w:t>GCP References</w:t>
      </w:r>
      <w:r w:rsidRPr="00E369C3">
        <w:rPr>
          <w:rStyle w:val="eop"/>
          <w:rFonts w:ascii="Aptos" w:hAnsi="Aptos" w:cs="Segoe UI"/>
          <w:sz w:val="20"/>
          <w:szCs w:val="20"/>
        </w:rPr>
        <w:t> </w:t>
      </w:r>
    </w:p>
    <w:p w14:paraId="71345F17" w14:textId="77777777" w:rsidR="00274E77" w:rsidRPr="00E369C3" w:rsidRDefault="00274E77" w:rsidP="00274E77">
      <w:pPr>
        <w:pStyle w:val="paragraph"/>
        <w:numPr>
          <w:ilvl w:val="0"/>
          <w:numId w:val="40"/>
        </w:numPr>
        <w:spacing w:before="0" w:beforeAutospacing="0" w:after="0" w:afterAutospacing="0"/>
        <w:textAlignment w:val="baseline"/>
        <w:rPr>
          <w:rFonts w:ascii="Segoe UI" w:hAnsi="Segoe UI" w:cs="Segoe UI"/>
          <w:sz w:val="14"/>
          <w:szCs w:val="14"/>
        </w:rPr>
      </w:pPr>
      <w:r w:rsidRPr="00E369C3">
        <w:rPr>
          <w:rStyle w:val="normaltextrun"/>
          <w:rFonts w:ascii="Aptos" w:hAnsi="Aptos" w:cs="Segoe UI"/>
          <w:sz w:val="20"/>
          <w:szCs w:val="20"/>
          <w:lang w:val="pt-BR"/>
        </w:rPr>
        <w:t>ICH E6 (R3) Part III 3.10.1.5</w:t>
      </w:r>
      <w:r w:rsidRPr="00E369C3">
        <w:rPr>
          <w:rStyle w:val="eop"/>
          <w:rFonts w:ascii="Aptos" w:hAnsi="Aptos" w:cs="Segoe UI"/>
          <w:sz w:val="20"/>
          <w:szCs w:val="20"/>
        </w:rPr>
        <w:t> </w:t>
      </w:r>
    </w:p>
    <w:p w14:paraId="1C3A95A3" w14:textId="2F3E4F68" w:rsidR="00FF01F2" w:rsidRPr="00E369C3" w:rsidRDefault="0050407C" w:rsidP="00DA5326">
      <w:pPr>
        <w:rPr>
          <w:sz w:val="18"/>
          <w:szCs w:val="18"/>
        </w:rPr>
      </w:pPr>
      <w:r w:rsidRPr="00E369C3">
        <w:rPr>
          <w:noProof/>
          <w:sz w:val="18"/>
          <w:szCs w:val="18"/>
        </w:rPr>
        <mc:AlternateContent>
          <mc:Choice Requires="wps">
            <w:drawing>
              <wp:inline distT="0" distB="0" distL="0" distR="0" wp14:anchorId="04790D1F" wp14:editId="32F9048D">
                <wp:extent cx="5835650" cy="6350"/>
                <wp:effectExtent l="0" t="0" r="31750" b="31750"/>
                <wp:docPr id="429068822" name="Straight Connector 1"/>
                <wp:cNvGraphicFramePr/>
                <a:graphic xmlns:a="http://schemas.openxmlformats.org/drawingml/2006/main">
                  <a:graphicData uri="http://schemas.microsoft.com/office/word/2010/wordprocessingShape">
                    <wps:wsp>
                      <wps:cNvCnPr/>
                      <wps:spPr>
                        <a:xfrm>
                          <a:off x="0" y="0"/>
                          <a:ext cx="5835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w:pict w14:anchorId="39F7F9B1">
              <v:line id="Straight Connector 1" style="visibility:visible;mso-wrap-style:square;mso-left-percent:-10001;mso-top-percent:-10001;mso-position-horizontal:absolute;mso-position-horizontal-relative:char;mso-position-vertical:absolute;mso-position-vertical-relative:line;mso-left-percent:-10001;mso-top-percent:-10001" o:spid="_x0000_s1026" strokecolor="black [3040]" from="0,0" to="459.5pt,.5pt" w14:anchorId="29D8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">
                <w10:anchorlock/>
              </v:line>
            </w:pict>
          </mc:Fallback>
        </mc:AlternateContent>
      </w:r>
    </w:p>
    <w:p w14:paraId="1D811BE9" w14:textId="3548AD72" w:rsidR="00756E64" w:rsidRPr="00E369C3" w:rsidRDefault="00303464" w:rsidP="00756E64">
      <w:pPr>
        <w:pStyle w:val="Heading1"/>
        <w:rPr>
          <w:sz w:val="22"/>
          <w:szCs w:val="22"/>
        </w:rPr>
      </w:pPr>
      <w:r w:rsidRPr="00E369C3">
        <w:rPr>
          <w:sz w:val="22"/>
          <w:szCs w:val="22"/>
        </w:rPr>
        <w:t xml:space="preserve">3: </w:t>
      </w:r>
      <w:r w:rsidR="0020032C" w:rsidRPr="00E369C3">
        <w:rPr>
          <w:sz w:val="22"/>
          <w:szCs w:val="22"/>
        </w:rPr>
        <w:t>Measuring Success</w:t>
      </w:r>
    </w:p>
    <w:p w14:paraId="763B3481" w14:textId="77777777" w:rsidR="007C153B" w:rsidRPr="00E369C3" w:rsidRDefault="007C153B" w:rsidP="007C153B">
      <w:pPr>
        <w:pStyle w:val="paragraph"/>
        <w:spacing w:before="0" w:beforeAutospacing="0" w:after="0" w:afterAutospacing="0"/>
        <w:textAlignment w:val="baseline"/>
        <w:rPr>
          <w:rStyle w:val="eop"/>
          <w:rFonts w:ascii="Aptos" w:hAnsi="Aptos" w:cs="Segoe UI"/>
          <w:sz w:val="20"/>
          <w:szCs w:val="20"/>
        </w:rPr>
      </w:pPr>
      <w:r w:rsidRPr="00E369C3">
        <w:rPr>
          <w:rStyle w:val="normaltextrun"/>
          <w:rFonts w:ascii="Aptos" w:hAnsi="Aptos" w:cs="Segoe UI"/>
          <w:sz w:val="20"/>
          <w:szCs w:val="20"/>
        </w:rPr>
        <w:t>The question “How do we know we’ve done it well?” surfaced repeatedly. Success indicators should focus on quality, not quantity:</w:t>
      </w:r>
      <w:r w:rsidRPr="00E369C3">
        <w:rPr>
          <w:rStyle w:val="eop"/>
          <w:rFonts w:ascii="Aptos" w:hAnsi="Aptos" w:cs="Segoe UI"/>
          <w:sz w:val="20"/>
          <w:szCs w:val="20"/>
        </w:rPr>
        <w:t> </w:t>
      </w:r>
    </w:p>
    <w:p w14:paraId="7E4D16EC" w14:textId="77777777" w:rsidR="007C153B" w:rsidRPr="00E369C3" w:rsidRDefault="007C153B" w:rsidP="007C153B">
      <w:pPr>
        <w:pStyle w:val="paragraph"/>
        <w:spacing w:before="0" w:beforeAutospacing="0" w:after="0" w:afterAutospacing="0"/>
        <w:textAlignment w:val="baseline"/>
        <w:rPr>
          <w:rFonts w:ascii="Segoe UI" w:hAnsi="Segoe UI" w:cs="Segoe UI"/>
          <w:sz w:val="14"/>
          <w:szCs w:val="14"/>
        </w:rPr>
      </w:pPr>
    </w:p>
    <w:p w14:paraId="585A2CC7" w14:textId="77777777" w:rsidR="007C153B" w:rsidRPr="00E369C3" w:rsidRDefault="007C153B" w:rsidP="00DB5D47">
      <w:pPr>
        <w:pStyle w:val="paragraph"/>
        <w:numPr>
          <w:ilvl w:val="0"/>
          <w:numId w:val="48"/>
        </w:numPr>
        <w:spacing w:before="0" w:beforeAutospacing="0" w:after="0" w:afterAutospacing="0"/>
        <w:textAlignment w:val="baseline"/>
        <w:rPr>
          <w:rFonts w:ascii="Aptos" w:hAnsi="Aptos" w:cs="Segoe UI"/>
          <w:sz w:val="20"/>
          <w:szCs w:val="20"/>
        </w:rPr>
      </w:pPr>
      <w:r w:rsidRPr="00E369C3">
        <w:rPr>
          <w:rStyle w:val="normaltextrun"/>
          <w:rFonts w:ascii="Aptos" w:hAnsi="Aptos" w:cs="Segoe UI"/>
          <w:sz w:val="20"/>
          <w:szCs w:val="20"/>
        </w:rPr>
        <w:t>Proportion of mitigations incorporated into functional plans.</w:t>
      </w:r>
      <w:r w:rsidRPr="00E369C3">
        <w:rPr>
          <w:rStyle w:val="eop"/>
          <w:rFonts w:ascii="Aptos" w:hAnsi="Aptos" w:cs="Segoe UI"/>
          <w:sz w:val="20"/>
          <w:szCs w:val="20"/>
        </w:rPr>
        <w:t> </w:t>
      </w:r>
    </w:p>
    <w:p w14:paraId="1674A823" w14:textId="77777777" w:rsidR="007C153B" w:rsidRPr="00E369C3" w:rsidRDefault="007C153B" w:rsidP="00DB5D47">
      <w:pPr>
        <w:pStyle w:val="paragraph"/>
        <w:numPr>
          <w:ilvl w:val="0"/>
          <w:numId w:val="48"/>
        </w:numPr>
        <w:spacing w:before="0" w:beforeAutospacing="0" w:after="0" w:afterAutospacing="0"/>
        <w:textAlignment w:val="baseline"/>
        <w:rPr>
          <w:rFonts w:ascii="Aptos" w:hAnsi="Aptos" w:cs="Segoe UI"/>
          <w:sz w:val="20"/>
          <w:szCs w:val="20"/>
        </w:rPr>
      </w:pPr>
      <w:r w:rsidRPr="00E369C3">
        <w:rPr>
          <w:rStyle w:val="normaltextrun"/>
          <w:rFonts w:ascii="Aptos" w:hAnsi="Aptos" w:cs="Segoe UI"/>
          <w:sz w:val="20"/>
          <w:szCs w:val="20"/>
        </w:rPr>
        <w:t>Monitoring strategies matched to mitigations</w:t>
      </w:r>
      <w:r w:rsidRPr="00E369C3">
        <w:rPr>
          <w:rStyle w:val="eop"/>
          <w:rFonts w:ascii="Aptos" w:hAnsi="Aptos" w:cs="Segoe UI"/>
          <w:sz w:val="20"/>
          <w:szCs w:val="20"/>
        </w:rPr>
        <w:t> </w:t>
      </w:r>
    </w:p>
    <w:p w14:paraId="1462F207" w14:textId="77777777" w:rsidR="007C153B" w:rsidRPr="00E369C3" w:rsidRDefault="007C153B" w:rsidP="00DB5D47">
      <w:pPr>
        <w:pStyle w:val="paragraph"/>
        <w:numPr>
          <w:ilvl w:val="0"/>
          <w:numId w:val="48"/>
        </w:numPr>
        <w:spacing w:before="0" w:beforeAutospacing="0" w:after="0" w:afterAutospacing="0"/>
        <w:textAlignment w:val="baseline"/>
        <w:rPr>
          <w:rFonts w:ascii="Aptos" w:hAnsi="Aptos" w:cs="Segoe UI"/>
          <w:sz w:val="20"/>
          <w:szCs w:val="20"/>
        </w:rPr>
      </w:pPr>
      <w:r w:rsidRPr="00E369C3">
        <w:rPr>
          <w:rStyle w:val="normaltextrun"/>
          <w:rFonts w:ascii="Aptos" w:hAnsi="Aptos" w:cs="Segoe UI"/>
          <w:sz w:val="20"/>
          <w:szCs w:val="20"/>
        </w:rPr>
        <w:t>Proportion of risks stemming from critical to quality factors</w:t>
      </w:r>
      <w:r w:rsidRPr="00E369C3">
        <w:rPr>
          <w:rStyle w:val="eop"/>
          <w:rFonts w:ascii="Aptos" w:hAnsi="Aptos" w:cs="Segoe UI"/>
          <w:sz w:val="20"/>
          <w:szCs w:val="20"/>
        </w:rPr>
        <w:t> </w:t>
      </w:r>
    </w:p>
    <w:p w14:paraId="32EBA992" w14:textId="5FE07E0C" w:rsidR="007C153B" w:rsidRPr="00E369C3" w:rsidRDefault="007C153B" w:rsidP="00DB5D47">
      <w:pPr>
        <w:pStyle w:val="paragraph"/>
        <w:numPr>
          <w:ilvl w:val="0"/>
          <w:numId w:val="48"/>
        </w:numPr>
        <w:spacing w:before="0" w:beforeAutospacing="0" w:after="0" w:afterAutospacing="0"/>
        <w:textAlignment w:val="baseline"/>
        <w:rPr>
          <w:rFonts w:ascii="Aptos" w:hAnsi="Aptos" w:cs="Segoe UI"/>
          <w:sz w:val="20"/>
          <w:szCs w:val="20"/>
        </w:rPr>
      </w:pPr>
      <w:r w:rsidRPr="00E369C3">
        <w:rPr>
          <w:rStyle w:val="normaltextrun"/>
          <w:rFonts w:ascii="Aptos" w:hAnsi="Aptos" w:cs="Segoe UI"/>
          <w:sz w:val="20"/>
          <w:szCs w:val="20"/>
        </w:rPr>
        <w:t>Evidence of adjustments to plans or oversight strategies driven by risk discussions.</w:t>
      </w:r>
      <w:r w:rsidRPr="00E369C3">
        <w:rPr>
          <w:rStyle w:val="eop"/>
          <w:rFonts w:ascii="Aptos" w:hAnsi="Aptos" w:cs="Segoe UI"/>
          <w:sz w:val="20"/>
          <w:szCs w:val="20"/>
        </w:rPr>
        <w:t> </w:t>
      </w:r>
    </w:p>
    <w:p w14:paraId="15D51444" w14:textId="77777777" w:rsidR="007C153B" w:rsidRPr="00E369C3" w:rsidRDefault="007C153B" w:rsidP="00DB5D47">
      <w:pPr>
        <w:pStyle w:val="paragraph"/>
        <w:numPr>
          <w:ilvl w:val="0"/>
          <w:numId w:val="48"/>
        </w:numPr>
        <w:spacing w:before="0" w:beforeAutospacing="0" w:after="0" w:afterAutospacing="0"/>
        <w:textAlignment w:val="baseline"/>
        <w:rPr>
          <w:rFonts w:ascii="Aptos" w:hAnsi="Aptos" w:cs="Segoe UI"/>
          <w:sz w:val="20"/>
          <w:szCs w:val="20"/>
        </w:rPr>
      </w:pPr>
      <w:r w:rsidRPr="00E369C3">
        <w:rPr>
          <w:rStyle w:val="normaltextrun"/>
          <w:rFonts w:ascii="Aptos" w:hAnsi="Aptos" w:cs="Segoe UI"/>
          <w:sz w:val="20"/>
          <w:szCs w:val="20"/>
        </w:rPr>
        <w:t>Qualitative cues such as engagement, insight, and collaboration observed by facilitators or functional reviewers.</w:t>
      </w:r>
      <w:r w:rsidRPr="00E369C3">
        <w:rPr>
          <w:rStyle w:val="eop"/>
          <w:rFonts w:ascii="Aptos" w:hAnsi="Aptos" w:cs="Segoe UI"/>
          <w:sz w:val="20"/>
          <w:szCs w:val="20"/>
        </w:rPr>
        <w:t> </w:t>
      </w:r>
    </w:p>
    <w:p w14:paraId="2A774075" w14:textId="3414954E" w:rsidR="007C153B" w:rsidRPr="00E369C3" w:rsidRDefault="00F4350D" w:rsidP="00DB5D47">
      <w:pPr>
        <w:pStyle w:val="paragraph"/>
        <w:numPr>
          <w:ilvl w:val="0"/>
          <w:numId w:val="48"/>
        </w:numPr>
        <w:spacing w:before="0" w:beforeAutospacing="0" w:after="0" w:afterAutospacing="0"/>
        <w:textAlignment w:val="baseline"/>
        <w:rPr>
          <w:rFonts w:ascii="Aptos" w:hAnsi="Aptos" w:cs="Segoe UI"/>
          <w:sz w:val="20"/>
          <w:szCs w:val="20"/>
        </w:rPr>
      </w:pPr>
      <w:r>
        <w:rPr>
          <w:rStyle w:val="normaltextrun"/>
          <w:rFonts w:ascii="Aptos" w:hAnsi="Aptos" w:cs="Segoe UI"/>
          <w:sz w:val="20"/>
          <w:szCs w:val="20"/>
        </w:rPr>
        <w:t xml:space="preserve">Adjusted </w:t>
      </w:r>
      <w:r w:rsidR="007C153B" w:rsidRPr="00E369C3">
        <w:rPr>
          <w:rStyle w:val="normaltextrun"/>
          <w:rFonts w:ascii="Aptos" w:hAnsi="Aptos" w:cs="Segoe UI"/>
          <w:sz w:val="20"/>
          <w:szCs w:val="20"/>
        </w:rPr>
        <w:t xml:space="preserve">risk profiles </w:t>
      </w:r>
      <w:r>
        <w:rPr>
          <w:rStyle w:val="normaltextrun"/>
          <w:rFonts w:ascii="Aptos" w:hAnsi="Aptos" w:cs="Segoe UI"/>
          <w:sz w:val="20"/>
          <w:szCs w:val="20"/>
        </w:rPr>
        <w:t>reflecting</w:t>
      </w:r>
      <w:r w:rsidR="007C153B" w:rsidRPr="00E369C3">
        <w:rPr>
          <w:rStyle w:val="normaltextrun"/>
          <w:rFonts w:ascii="Aptos" w:hAnsi="Aptos" w:cs="Segoe UI"/>
          <w:sz w:val="20"/>
          <w:szCs w:val="20"/>
        </w:rPr>
        <w:t xml:space="preserve"> </w:t>
      </w:r>
      <w:r>
        <w:rPr>
          <w:rStyle w:val="normaltextrun"/>
          <w:rFonts w:ascii="Aptos" w:hAnsi="Aptos" w:cs="Segoe UI"/>
          <w:sz w:val="20"/>
          <w:szCs w:val="20"/>
        </w:rPr>
        <w:t>accumulation of issues</w:t>
      </w:r>
    </w:p>
    <w:p w14:paraId="3BF0947B" w14:textId="6A937678" w:rsidR="007C153B" w:rsidRPr="00E369C3" w:rsidRDefault="007C153B" w:rsidP="00DB5D47">
      <w:pPr>
        <w:pStyle w:val="paragraph"/>
        <w:numPr>
          <w:ilvl w:val="0"/>
          <w:numId w:val="48"/>
        </w:numPr>
        <w:spacing w:before="0" w:beforeAutospacing="0" w:after="0" w:afterAutospacing="0"/>
        <w:textAlignment w:val="baseline"/>
        <w:rPr>
          <w:rStyle w:val="eop"/>
          <w:rFonts w:ascii="Aptos" w:hAnsi="Aptos" w:cs="Segoe UI"/>
          <w:sz w:val="20"/>
          <w:szCs w:val="20"/>
        </w:rPr>
      </w:pPr>
      <w:r w:rsidRPr="00E369C3">
        <w:rPr>
          <w:rStyle w:val="normaltextrun"/>
          <w:rFonts w:ascii="Aptos" w:hAnsi="Aptos" w:cs="Segoe UI"/>
          <w:sz w:val="20"/>
          <w:szCs w:val="20"/>
        </w:rPr>
        <w:t>As a lagging indicator, teams can analyze the significant issues impacting </w:t>
      </w:r>
      <w:r w:rsidR="00F4350D">
        <w:rPr>
          <w:rStyle w:val="normaltextrun"/>
          <w:rFonts w:ascii="Aptos" w:hAnsi="Aptos" w:cs="Segoe UI"/>
          <w:sz w:val="20"/>
          <w:szCs w:val="20"/>
        </w:rPr>
        <w:t>CtQ</w:t>
      </w:r>
      <w:r w:rsidRPr="00E369C3">
        <w:rPr>
          <w:rStyle w:val="normaltextrun"/>
          <w:rFonts w:ascii="Aptos" w:hAnsi="Aptos" w:cs="Segoe UI"/>
          <w:sz w:val="20"/>
          <w:szCs w:val="20"/>
        </w:rPr>
        <w:t> that result from failed mitigations that were not adjusted or unidentified risks.</w:t>
      </w:r>
      <w:r w:rsidRPr="00E369C3">
        <w:rPr>
          <w:rStyle w:val="eop"/>
          <w:rFonts w:ascii="Aptos" w:hAnsi="Aptos" w:cs="Segoe UI"/>
          <w:sz w:val="20"/>
          <w:szCs w:val="20"/>
        </w:rPr>
        <w:t> </w:t>
      </w:r>
    </w:p>
    <w:p w14:paraId="7F0EA0DA" w14:textId="77777777" w:rsidR="00DB5D47" w:rsidRPr="00E369C3" w:rsidRDefault="00DB5D47" w:rsidP="00DB5D47">
      <w:pPr>
        <w:pStyle w:val="paragraph"/>
        <w:spacing w:before="0" w:beforeAutospacing="0" w:after="0" w:afterAutospacing="0"/>
        <w:textAlignment w:val="baseline"/>
        <w:rPr>
          <w:rFonts w:ascii="Aptos" w:hAnsi="Aptos" w:cs="Segoe UI"/>
          <w:sz w:val="20"/>
          <w:szCs w:val="20"/>
        </w:rPr>
      </w:pPr>
    </w:p>
    <w:p w14:paraId="177D1392" w14:textId="55F4A5B5" w:rsidR="007C153B" w:rsidRPr="00E369C3" w:rsidRDefault="007C153B" w:rsidP="007C153B">
      <w:pPr>
        <w:pStyle w:val="paragraph"/>
        <w:spacing w:before="0" w:beforeAutospacing="0" w:after="0" w:afterAutospacing="0"/>
        <w:textAlignment w:val="baseline"/>
        <w:rPr>
          <w:rFonts w:ascii="Segoe UI" w:hAnsi="Segoe UI" w:cs="Segoe UI"/>
          <w:sz w:val="14"/>
          <w:szCs w:val="14"/>
        </w:rPr>
      </w:pPr>
      <w:r w:rsidRPr="00E369C3">
        <w:rPr>
          <w:rStyle w:val="normaltextrun"/>
          <w:rFonts w:ascii="Aptos" w:hAnsi="Aptos" w:cs="Segoe UI"/>
          <w:sz w:val="20"/>
          <w:szCs w:val="20"/>
        </w:rPr>
        <w:t xml:space="preserve">These measures reflect maturity in critical thinking and shared accountability rather than mere compliance. </w:t>
      </w:r>
    </w:p>
    <w:p w14:paraId="68EDDC2A" w14:textId="20DBE3CF" w:rsidR="00DA5326" w:rsidRPr="00E369C3" w:rsidRDefault="00303464" w:rsidP="00DA5326">
      <w:pPr>
        <w:pStyle w:val="Heading1"/>
        <w:rPr>
          <w:sz w:val="22"/>
          <w:szCs w:val="22"/>
        </w:rPr>
      </w:pPr>
      <w:r w:rsidRPr="00E369C3">
        <w:rPr>
          <w:sz w:val="22"/>
          <w:szCs w:val="22"/>
        </w:rPr>
        <w:t xml:space="preserve">4: </w:t>
      </w:r>
      <w:r w:rsidR="00EE03B9" w:rsidRPr="00E369C3">
        <w:rPr>
          <w:sz w:val="22"/>
          <w:szCs w:val="22"/>
        </w:rPr>
        <w:t>Lessons and the Road Ahead</w:t>
      </w:r>
    </w:p>
    <w:p w14:paraId="14688085" w14:textId="77777777" w:rsidR="00F0252F" w:rsidRPr="00E369C3" w:rsidRDefault="00F0252F" w:rsidP="00F0252F">
      <w:pPr>
        <w:pStyle w:val="paragraph"/>
        <w:spacing w:before="0" w:beforeAutospacing="0" w:after="0" w:afterAutospacing="0"/>
        <w:textAlignment w:val="baseline"/>
        <w:rPr>
          <w:rStyle w:val="eop"/>
          <w:rFonts w:ascii="Aptos" w:hAnsi="Aptos" w:cs="Segoe UI"/>
          <w:sz w:val="20"/>
          <w:szCs w:val="20"/>
        </w:rPr>
      </w:pPr>
      <w:r w:rsidRPr="00E369C3">
        <w:rPr>
          <w:rStyle w:val="normaltextrun"/>
          <w:rFonts w:ascii="Aptos" w:hAnsi="Aptos" w:cs="Segoe UI"/>
          <w:sz w:val="20"/>
          <w:szCs w:val="20"/>
        </w:rPr>
        <w:t xml:space="preserve">Across all sessions, a common realization emerged: effective risk assessment feels human. It thrives on conversation, curiosity and clarity, not checkboxes. ICH E6 (R3) reinforces that quality should be proportionate and data </w:t>
      </w:r>
      <w:r w:rsidRPr="00E369C3">
        <w:rPr>
          <w:rStyle w:val="normaltextrun"/>
          <w:rFonts w:ascii="Aptos" w:hAnsi="Aptos" w:cs="Segoe UI"/>
          <w:sz w:val="20"/>
          <w:szCs w:val="20"/>
        </w:rPr>
        <w:lastRenderedPageBreak/>
        <w:t>driven.  Organizations must invest in facilitation skills, governance clarity, and collaboration tools. This requires leadership support, process integration, and continuous learning.</w:t>
      </w:r>
      <w:r w:rsidRPr="00E369C3">
        <w:rPr>
          <w:rStyle w:val="eop"/>
          <w:rFonts w:ascii="Aptos" w:hAnsi="Aptos" w:cs="Segoe UI"/>
          <w:sz w:val="20"/>
          <w:szCs w:val="20"/>
        </w:rPr>
        <w:t> </w:t>
      </w:r>
    </w:p>
    <w:p w14:paraId="68B458D4" w14:textId="77777777" w:rsidR="00F0252F" w:rsidRPr="00E369C3" w:rsidRDefault="00F0252F" w:rsidP="00F0252F">
      <w:pPr>
        <w:pStyle w:val="paragraph"/>
        <w:spacing w:before="0" w:beforeAutospacing="0" w:after="0" w:afterAutospacing="0"/>
        <w:textAlignment w:val="baseline"/>
        <w:rPr>
          <w:rFonts w:ascii="Segoe UI" w:hAnsi="Segoe UI" w:cs="Segoe UI"/>
          <w:sz w:val="14"/>
          <w:szCs w:val="14"/>
        </w:rPr>
      </w:pPr>
    </w:p>
    <w:p w14:paraId="081735F4" w14:textId="77777777" w:rsidR="00F0252F" w:rsidRPr="00E369C3" w:rsidRDefault="00F0252F" w:rsidP="00F0252F">
      <w:pPr>
        <w:pStyle w:val="paragraph"/>
        <w:spacing w:before="0" w:beforeAutospacing="0" w:after="0" w:afterAutospacing="0"/>
        <w:textAlignment w:val="baseline"/>
        <w:rPr>
          <w:rStyle w:val="eop"/>
          <w:rFonts w:ascii="Aptos" w:hAnsi="Aptos" w:cs="Segoe UI"/>
          <w:sz w:val="20"/>
          <w:szCs w:val="20"/>
        </w:rPr>
      </w:pPr>
      <w:r w:rsidRPr="00E369C3">
        <w:rPr>
          <w:rStyle w:val="normaltextrun"/>
          <w:rFonts w:ascii="Aptos" w:hAnsi="Aptos" w:cs="Segoe UI"/>
          <w:sz w:val="20"/>
          <w:szCs w:val="20"/>
        </w:rPr>
        <w:t>AI will continue to evolve as a collaborator-helping teams prepare, compare, and communicate more effectively. </w:t>
      </w:r>
      <w:r w:rsidRPr="00E369C3">
        <w:rPr>
          <w:rStyle w:val="eop"/>
          <w:rFonts w:ascii="Aptos" w:hAnsi="Aptos" w:cs="Segoe UI"/>
          <w:sz w:val="20"/>
          <w:szCs w:val="20"/>
        </w:rPr>
        <w:t> </w:t>
      </w:r>
    </w:p>
    <w:p w14:paraId="1E0BCE5A" w14:textId="77777777" w:rsidR="00F0252F" w:rsidRPr="00E369C3" w:rsidRDefault="00F0252F" w:rsidP="00F0252F">
      <w:pPr>
        <w:pStyle w:val="paragraph"/>
        <w:spacing w:before="0" w:beforeAutospacing="0" w:after="0" w:afterAutospacing="0"/>
        <w:textAlignment w:val="baseline"/>
        <w:rPr>
          <w:rFonts w:ascii="Segoe UI" w:hAnsi="Segoe UI" w:cs="Segoe UI"/>
          <w:sz w:val="14"/>
          <w:szCs w:val="14"/>
        </w:rPr>
      </w:pPr>
    </w:p>
    <w:p w14:paraId="7D7D77A0" w14:textId="77777777" w:rsidR="00F0252F" w:rsidRPr="00E369C3" w:rsidRDefault="00F0252F" w:rsidP="00F0252F">
      <w:pPr>
        <w:pStyle w:val="paragraph"/>
        <w:spacing w:before="0" w:beforeAutospacing="0" w:after="0" w:afterAutospacing="0"/>
        <w:textAlignment w:val="baseline"/>
        <w:rPr>
          <w:rFonts w:ascii="Segoe UI" w:hAnsi="Segoe UI" w:cs="Segoe UI"/>
          <w:sz w:val="14"/>
          <w:szCs w:val="14"/>
        </w:rPr>
      </w:pPr>
      <w:r w:rsidRPr="00E369C3">
        <w:rPr>
          <w:rStyle w:val="normaltextrun"/>
          <w:rFonts w:ascii="Aptos" w:hAnsi="Aptos" w:cs="Segoe UI"/>
          <w:sz w:val="20"/>
          <w:szCs w:val="20"/>
        </w:rPr>
        <w:t>The future supports opportunities for seamless integration: linking protocol design, risk assessment, and oversight into one continuous learning system. Organizations that embrace this model will be better equipped to navigate complexity and deliver high-quality trials.</w:t>
      </w:r>
      <w:r w:rsidRPr="00E369C3">
        <w:rPr>
          <w:rStyle w:val="eop"/>
          <w:rFonts w:ascii="Aptos" w:hAnsi="Aptos" w:cs="Segoe UI"/>
          <w:sz w:val="20"/>
          <w:szCs w:val="20"/>
        </w:rPr>
        <w:t> </w:t>
      </w:r>
    </w:p>
    <w:p w14:paraId="243FE452" w14:textId="77777777" w:rsidR="00E53689" w:rsidRDefault="00E53689" w:rsidP="00F0252F">
      <w:pPr>
        <w:pStyle w:val="paragraph"/>
        <w:spacing w:before="0" w:beforeAutospacing="0" w:after="0" w:afterAutospacing="0"/>
        <w:textAlignment w:val="baseline"/>
        <w:rPr>
          <w:rStyle w:val="normaltextrun"/>
          <w:rFonts w:ascii="Aptos" w:hAnsi="Aptos" w:cs="Segoe UI"/>
          <w:sz w:val="20"/>
          <w:szCs w:val="20"/>
        </w:rPr>
      </w:pPr>
    </w:p>
    <w:p w14:paraId="516338D9" w14:textId="4429FC88" w:rsidR="00F0252F" w:rsidRPr="00E369C3" w:rsidRDefault="00F0252F" w:rsidP="00F0252F">
      <w:pPr>
        <w:pStyle w:val="paragraph"/>
        <w:spacing w:before="0" w:beforeAutospacing="0" w:after="0" w:afterAutospacing="0"/>
        <w:textAlignment w:val="baseline"/>
        <w:rPr>
          <w:rFonts w:ascii="Segoe UI" w:hAnsi="Segoe UI" w:cs="Segoe UI"/>
          <w:sz w:val="14"/>
          <w:szCs w:val="14"/>
        </w:rPr>
      </w:pPr>
      <w:r w:rsidRPr="00E369C3">
        <w:rPr>
          <w:rStyle w:val="normaltextrun"/>
          <w:rFonts w:ascii="Aptos" w:hAnsi="Aptos" w:cs="Segoe UI"/>
          <w:sz w:val="20"/>
          <w:szCs w:val="20"/>
        </w:rPr>
        <w:t>When risk assessment becomes a shared story of study reliability and participant protection, compliance turns into confidence</w:t>
      </w:r>
      <w:r w:rsidR="00E53689">
        <w:rPr>
          <w:rStyle w:val="normaltextrun"/>
          <w:rFonts w:ascii="Aptos" w:hAnsi="Aptos" w:cs="Segoe UI"/>
          <w:sz w:val="20"/>
          <w:szCs w:val="20"/>
        </w:rPr>
        <w:t xml:space="preserve">, </w:t>
      </w:r>
      <w:r w:rsidRPr="00E369C3">
        <w:rPr>
          <w:rStyle w:val="normaltextrun"/>
          <w:rFonts w:ascii="Aptos" w:hAnsi="Aptos" w:cs="Segoe UI"/>
          <w:sz w:val="20"/>
          <w:szCs w:val="20"/>
        </w:rPr>
        <w:t>and quality becomes culture.</w:t>
      </w:r>
      <w:r w:rsidRPr="00E369C3">
        <w:rPr>
          <w:rStyle w:val="eop"/>
          <w:rFonts w:ascii="Aptos" w:hAnsi="Aptos" w:cs="Segoe UI"/>
          <w:sz w:val="20"/>
          <w:szCs w:val="20"/>
        </w:rPr>
        <w:t> </w:t>
      </w:r>
    </w:p>
    <w:p w14:paraId="382B3ACF" w14:textId="77777777" w:rsidR="00BB4C41" w:rsidRPr="00E369C3" w:rsidRDefault="006F16A3" w:rsidP="00DA5326">
      <w:pPr>
        <w:pStyle w:val="Heading1"/>
        <w:rPr>
          <w:sz w:val="22"/>
          <w:szCs w:val="22"/>
        </w:rPr>
      </w:pPr>
      <w:r w:rsidRPr="00E369C3">
        <w:rPr>
          <w:sz w:val="22"/>
          <w:szCs w:val="22"/>
        </w:rPr>
        <w:t>5</w:t>
      </w:r>
      <w:r w:rsidR="00303464" w:rsidRPr="00E369C3">
        <w:rPr>
          <w:sz w:val="22"/>
          <w:szCs w:val="22"/>
        </w:rPr>
        <w:t xml:space="preserve">: </w:t>
      </w:r>
      <w:r w:rsidR="00DA5326" w:rsidRPr="00E369C3">
        <w:rPr>
          <w:sz w:val="22"/>
          <w:szCs w:val="22"/>
        </w:rPr>
        <w:t>Disclaimer:</w:t>
      </w:r>
    </w:p>
    <w:p w14:paraId="44AD3765" w14:textId="77777777" w:rsidR="00BB4C41" w:rsidRPr="00E369C3" w:rsidRDefault="00BB4C41" w:rsidP="00BB4C41">
      <w:pPr>
        <w:pStyle w:val="Heading1"/>
        <w:spacing w:before="0"/>
        <w:rPr>
          <w:rFonts w:ascii="Aptos" w:eastAsiaTheme="minorHAnsi" w:hAnsi="Aptos" w:cstheme="minorBidi"/>
          <w:b w:val="0"/>
          <w:bCs w:val="0"/>
          <w:color w:val="auto"/>
          <w:sz w:val="20"/>
          <w:szCs w:val="20"/>
        </w:rPr>
      </w:pPr>
      <w:r w:rsidRPr="00E369C3">
        <w:rPr>
          <w:rFonts w:ascii="Aptos" w:eastAsiaTheme="minorHAnsi" w:hAnsi="Aptos" w:cstheme="minorBidi"/>
          <w:b w:val="0"/>
          <w:bCs w:val="0"/>
          <w:color w:val="auto"/>
          <w:sz w:val="20"/>
          <w:szCs w:val="20"/>
        </w:rPr>
        <w:t>The opinions expressed in this document are those of the authors and should not be construed to represent the opinions of PHUSE members; respective companies/organizations or Regulator’s views or policies. The content in this document should not be interpreted as a data standard and/or information required by Regulatory Authorities.</w:t>
      </w:r>
    </w:p>
    <w:p w14:paraId="6B39F56D" w14:textId="5F672918" w:rsidR="00DA5326" w:rsidRPr="00E369C3" w:rsidRDefault="006F16A3" w:rsidP="00DA5326">
      <w:pPr>
        <w:pStyle w:val="Heading1"/>
        <w:rPr>
          <w:sz w:val="22"/>
          <w:szCs w:val="22"/>
        </w:rPr>
      </w:pPr>
      <w:r w:rsidRPr="153488E7">
        <w:rPr>
          <w:sz w:val="22"/>
          <w:szCs w:val="22"/>
        </w:rPr>
        <w:t>6</w:t>
      </w:r>
      <w:r w:rsidR="00303464" w:rsidRPr="153488E7">
        <w:rPr>
          <w:sz w:val="22"/>
          <w:szCs w:val="22"/>
        </w:rPr>
        <w:t xml:space="preserve">: </w:t>
      </w:r>
      <w:r w:rsidR="4DC964FF" w:rsidRPr="153488E7">
        <w:rPr>
          <w:sz w:val="22"/>
          <w:szCs w:val="22"/>
        </w:rPr>
        <w:t xml:space="preserve">Authors and </w:t>
      </w:r>
      <w:r w:rsidR="00DA5326" w:rsidRPr="153488E7">
        <w:rPr>
          <w:sz w:val="22"/>
          <w:szCs w:val="22"/>
        </w:rPr>
        <w:t>Project Contact Information:</w:t>
      </w:r>
    </w:p>
    <w:p w14:paraId="70DB6299" w14:textId="7845AC89" w:rsidR="474BF80A" w:rsidRDefault="474BF80A" w:rsidP="153488E7">
      <w:pPr>
        <w:pStyle w:val="ListParagraph"/>
        <w:numPr>
          <w:ilvl w:val="0"/>
          <w:numId w:val="2"/>
        </w:numPr>
        <w:rPr>
          <w:sz w:val="18"/>
          <w:szCs w:val="18"/>
        </w:rPr>
      </w:pPr>
      <w:r w:rsidRPr="153488E7">
        <w:rPr>
          <w:sz w:val="18"/>
          <w:szCs w:val="18"/>
        </w:rPr>
        <w:t xml:space="preserve">Kristin Stallcup, Takeda; </w:t>
      </w:r>
      <w:r w:rsidR="34BBDA1B" w:rsidRPr="153488E7">
        <w:rPr>
          <w:sz w:val="18"/>
          <w:szCs w:val="18"/>
        </w:rPr>
        <w:t>Rachael Geedey, Gilead; Brian Barnes, BioNTech; Duncan Hall, TRI; Marta Surlej, Indero</w:t>
      </w:r>
    </w:p>
    <w:p w14:paraId="0CFB79DE" w14:textId="793FFBDD" w:rsidR="00B96054" w:rsidRPr="00E369C3" w:rsidRDefault="00DA0B32" w:rsidP="153488E7">
      <w:pPr>
        <w:pStyle w:val="ListParagraph"/>
        <w:numPr>
          <w:ilvl w:val="0"/>
          <w:numId w:val="2"/>
        </w:numPr>
        <w:rPr>
          <w:sz w:val="18"/>
          <w:szCs w:val="18"/>
        </w:rPr>
      </w:pPr>
      <w:r w:rsidRPr="12D361C1">
        <w:rPr>
          <w:sz w:val="18"/>
          <w:szCs w:val="18"/>
        </w:rPr>
        <w:t>workinggroups@phuse.</w:t>
      </w:r>
      <w:r w:rsidR="493EDCFD" w:rsidRPr="12D361C1">
        <w:rPr>
          <w:sz w:val="18"/>
          <w:szCs w:val="18"/>
        </w:rPr>
        <w:t>global</w:t>
      </w:r>
    </w:p>
    <w:p w14:paraId="6D37E0ED" w14:textId="7EEA7A7E" w:rsidR="00BB4C41" w:rsidRPr="00E369C3" w:rsidRDefault="006F16A3" w:rsidP="00BB4C41">
      <w:pPr>
        <w:pStyle w:val="Heading1"/>
        <w:rPr>
          <w:sz w:val="22"/>
          <w:szCs w:val="22"/>
        </w:rPr>
      </w:pPr>
      <w:r w:rsidRPr="153488E7">
        <w:rPr>
          <w:sz w:val="22"/>
          <w:szCs w:val="22"/>
        </w:rPr>
        <w:t>7</w:t>
      </w:r>
      <w:r w:rsidR="00303464" w:rsidRPr="153488E7">
        <w:rPr>
          <w:sz w:val="22"/>
          <w:szCs w:val="22"/>
        </w:rPr>
        <w:t xml:space="preserve">: </w:t>
      </w:r>
      <w:r w:rsidR="00B96054" w:rsidRPr="153488E7">
        <w:rPr>
          <w:sz w:val="22"/>
          <w:szCs w:val="22"/>
        </w:rPr>
        <w:t>Acknowledgments:</w:t>
      </w:r>
    </w:p>
    <w:p w14:paraId="0DDAA66D" w14:textId="414DFB5F" w:rsidR="5DC293EE" w:rsidRDefault="5DC293EE" w:rsidP="153488E7">
      <w:pPr>
        <w:rPr>
          <w:sz w:val="18"/>
          <w:szCs w:val="18"/>
        </w:rPr>
      </w:pPr>
      <w:r w:rsidRPr="153488E7">
        <w:rPr>
          <w:sz w:val="18"/>
          <w:szCs w:val="18"/>
        </w:rPr>
        <w:t xml:space="preserve">Chonna Campbell, United Therapeutics; Oliva Feiro, </w:t>
      </w:r>
      <w:r w:rsidR="794CC5F8" w:rsidRPr="153488E7">
        <w:rPr>
          <w:sz w:val="18"/>
          <w:szCs w:val="18"/>
        </w:rPr>
        <w:t xml:space="preserve">Immunocore; Ann Fleenor, Astellas; Rohit Gupta, Indero; Kelly Holladay, Worldwide Clinical Trials; Randall Holzberger, Daiichi Sankyo; </w:t>
      </w:r>
      <w:r w:rsidR="2100583F" w:rsidRPr="153488E7">
        <w:rPr>
          <w:sz w:val="18"/>
          <w:szCs w:val="18"/>
        </w:rPr>
        <w:t xml:space="preserve">Kingsley Kaluarachchi, GE HealthCare; Svetlana Karova, Alnylam; Mile Kotze, ThermoFisher Scientific; Rachel </w:t>
      </w:r>
      <w:r w:rsidR="34C2DA81" w:rsidRPr="153488E7">
        <w:rPr>
          <w:sz w:val="18"/>
          <w:szCs w:val="18"/>
        </w:rPr>
        <w:t>Taylor, Regeneron; Siegfried Vanderbeke, Genmab; Hang Zhong, Bristol Myers Squibb</w:t>
      </w:r>
    </w:p>
    <w:p w14:paraId="76A12EDC" w14:textId="3CAB362E" w:rsidR="00BB4C41" w:rsidRPr="00E369C3" w:rsidRDefault="00BB4C41" w:rsidP="00BB4C41">
      <w:pPr>
        <w:rPr>
          <w:rFonts w:asciiTheme="majorHAnsi" w:eastAsiaTheme="majorEastAsia" w:hAnsiTheme="majorHAnsi" w:cstheme="majorBidi"/>
          <w:b/>
          <w:bCs/>
          <w:color w:val="365F91" w:themeColor="accent1" w:themeShade="BF"/>
        </w:rPr>
      </w:pPr>
      <w:r w:rsidRPr="153488E7">
        <w:rPr>
          <w:rFonts w:asciiTheme="majorHAnsi" w:eastAsiaTheme="majorEastAsia" w:hAnsiTheme="majorHAnsi" w:cstheme="majorBidi"/>
          <w:b/>
          <w:bCs/>
          <w:color w:val="365F91" w:themeColor="accent1" w:themeShade="BF"/>
        </w:rPr>
        <w:t>8: References</w:t>
      </w:r>
    </w:p>
    <w:p w14:paraId="5071DB07" w14:textId="15EEA739" w:rsidR="3AB91D6A" w:rsidRDefault="3AB91D6A" w:rsidP="153488E7">
      <w:pPr>
        <w:spacing w:line="300" w:lineRule="auto"/>
      </w:pPr>
      <w:r w:rsidRPr="153488E7">
        <w:rPr>
          <w:rFonts w:eastAsiaTheme="minorEastAsia"/>
          <w:sz w:val="18"/>
          <w:szCs w:val="18"/>
        </w:rPr>
        <w:t>1. International Council for Harmonisation of Technical Requirements for Pharmaceuticals for Human Use (ICH). ICH Harmonised Guideline: Good Clinical Practice (E6(R3)). Geneva: ICH; 2023.</w:t>
      </w:r>
    </w:p>
    <w:p w14:paraId="27DD1A76" w14:textId="1E94ACEE" w:rsidR="3AB91D6A" w:rsidRDefault="3AB91D6A" w:rsidP="153488E7">
      <w:pPr>
        <w:spacing w:line="300" w:lineRule="auto"/>
      </w:pPr>
      <w:r w:rsidRPr="153488E7">
        <w:rPr>
          <w:rFonts w:eastAsiaTheme="minorEastAsia"/>
          <w:sz w:val="18"/>
          <w:szCs w:val="18"/>
        </w:rPr>
        <w:t>2. U.S. Food and Drug Administration (FDA) and European Medicines Agency (EMA). Guiding principles of good artificial intelligence practice in drug development. Silver Spring (MD) and Amsterdam: FDA and EMA; 2026.</w:t>
      </w:r>
    </w:p>
    <w:p w14:paraId="4B591F4C" w14:textId="6EB58F57" w:rsidR="153488E7" w:rsidRDefault="153488E7" w:rsidP="153488E7">
      <w:pPr>
        <w:rPr>
          <w:sz w:val="18"/>
          <w:szCs w:val="18"/>
          <w:highlight w:val="yellow"/>
        </w:rPr>
      </w:pPr>
    </w:p>
    <w:p w14:paraId="04A401BA" w14:textId="77777777" w:rsidR="00DA5326" w:rsidRPr="00E369C3" w:rsidRDefault="00DA5326" w:rsidP="0088557B">
      <w:pPr>
        <w:ind w:left="2160" w:firstLine="720"/>
        <w:rPr>
          <w:sz w:val="18"/>
          <w:szCs w:val="18"/>
        </w:rPr>
      </w:pPr>
    </w:p>
    <w:sectPr w:rsidR="00DA5326" w:rsidRPr="00E369C3" w:rsidSect="00085B7D">
      <w:footerReference w:type="default" r:id="rId19"/>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Stallcup, Kristin" w:date="2026-04-17T07:56:00Z" w:initials="KS">
    <w:p w14:paraId="2656E8BC" w14:textId="77777777" w:rsidR="00964231" w:rsidRDefault="00964231" w:rsidP="00964231">
      <w:pPr>
        <w:pStyle w:val="CommentText"/>
      </w:pPr>
      <w:r>
        <w:rPr>
          <w:rStyle w:val="CommentReference"/>
        </w:rPr>
        <w:annotationRef/>
      </w:r>
      <w:r>
        <w:t>Marta- to the graphic we agreed:</w:t>
      </w:r>
    </w:p>
    <w:p w14:paraId="6F2B3269" w14:textId="77777777" w:rsidR="00964231" w:rsidRDefault="00964231" w:rsidP="00964231">
      <w:pPr>
        <w:pStyle w:val="CommentText"/>
        <w:numPr>
          <w:ilvl w:val="0"/>
          <w:numId w:val="15"/>
        </w:numPr>
      </w:pPr>
      <w:r>
        <w:t>Update #1 to Establish shared understanding and focus on proportionality.</w:t>
      </w:r>
    </w:p>
    <w:p w14:paraId="6739D63C" w14:textId="77777777" w:rsidR="00964231" w:rsidRDefault="00964231" w:rsidP="00964231">
      <w:pPr>
        <w:pStyle w:val="CommentText"/>
        <w:numPr>
          <w:ilvl w:val="0"/>
          <w:numId w:val="15"/>
        </w:numPr>
      </w:pPr>
      <w:r>
        <w:t>Update #3 to Identify, evaluate and prioritize risks to CtQ factors.</w:t>
      </w:r>
    </w:p>
    <w:p w14:paraId="1E387468" w14:textId="77777777" w:rsidR="00964231" w:rsidRDefault="00964231" w:rsidP="00964231">
      <w:pPr>
        <w:pStyle w:val="CommentText"/>
        <w:numPr>
          <w:ilvl w:val="0"/>
          <w:numId w:val="15"/>
        </w:numPr>
      </w:pPr>
      <w:r>
        <w:t>Update #6 to “Reassess and update risks and controls as study data evolve”</w:t>
      </w:r>
    </w:p>
  </w:comment>
  <w:comment w:id="1" w:author="Stallcup, Kristin" w:date="2026-04-17T08:00:00Z" w:initials="KS">
    <w:p w14:paraId="0AF52E8D" w14:textId="77777777" w:rsidR="00D26E2D" w:rsidRDefault="00D26E2D" w:rsidP="00D26E2D">
      <w:pPr>
        <w:pStyle w:val="CommentText"/>
      </w:pPr>
      <w:r>
        <w:rPr>
          <w:rStyle w:val="CommentReference"/>
        </w:rPr>
        <w:annotationRef/>
      </w:r>
      <w:r>
        <w:t xml:space="preserve">Include footer “The authors consider  </w:t>
      </w:r>
      <w:r>
        <w:rPr>
          <w:i/>
          <w:iCs/>
        </w:rPr>
        <w:t>risk assessment, risk log, risk register, risk assessment categorization tool</w:t>
      </w:r>
      <w:r>
        <w:t xml:space="preserve"> and related terms to all broadly mean the same thing: documentation of risks and their corresponding controls.”</w:t>
      </w:r>
    </w:p>
  </w:comment>
  <w:comment w:id="2" w:author="Stallcup, Kristin" w:date="2026-04-17T08:09:00Z" w:initials="KS">
    <w:p w14:paraId="291A6227" w14:textId="77777777" w:rsidR="000209A8" w:rsidRDefault="000209A8" w:rsidP="000209A8">
      <w:pPr>
        <w:pStyle w:val="CommentText"/>
      </w:pPr>
      <w:r>
        <w:rPr>
          <w:rStyle w:val="CommentReference"/>
        </w:rPr>
        <w:annotationRef/>
      </w:r>
      <w:r>
        <w:t>Add footnote: When using AI, reference FDA and EMA’s Guiding Principles of Good AI Practice in Drug Development along with your organization’s guidance.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E387468" w15:done="1"/>
  <w15:commentEx w15:paraId="0AF52E8D" w15:done="1"/>
  <w15:commentEx w15:paraId="291A622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3C3B70EE" w16cex:dateUtc="2026-04-17T12:56:00Z"/>
  <w16cex:commentExtensible w16cex:durableId="68E9D2C6" w16cex:dateUtc="2026-04-17T13:00:00Z"/>
  <w16cex:commentExtensible w16cex:durableId="22D0FB64" w16cex:dateUtc="2026-04-17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E387468" w16cid:durableId="3C3B70EE"/>
  <w16cid:commentId w16cid:paraId="0AF52E8D" w16cid:durableId="68E9D2C6"/>
  <w16cid:commentId w16cid:paraId="291A6227" w16cid:durableId="22D0FB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DD6AB1" w14:textId="77777777" w:rsidR="003A6052" w:rsidRDefault="003A6052" w:rsidP="0088557B">
      <w:pPr>
        <w:spacing w:after="0" w:line="240" w:lineRule="auto"/>
      </w:pPr>
      <w:r>
        <w:separator/>
      </w:r>
    </w:p>
  </w:endnote>
  <w:endnote w:type="continuationSeparator" w:id="0">
    <w:p w14:paraId="3DCE9B5B" w14:textId="77777777" w:rsidR="003A6052" w:rsidRDefault="003A6052" w:rsidP="00885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7D0011" w14:textId="6027A595" w:rsidR="0026471A" w:rsidRPr="00E31293" w:rsidRDefault="00190925" w:rsidP="003301A5">
    <w:pPr>
      <w:pStyle w:val="Footer"/>
    </w:pPr>
    <w:r>
      <w:rPr>
        <w:rFonts w:ascii="Times New Roman" w:eastAsia="Times New Roman" w:hAnsi="Times New Roman" w:cs="Times New Roman"/>
        <w:spacing w:val="-7"/>
        <w:position w:val="1"/>
      </w:rPr>
      <w:t>{</w:t>
    </w:r>
    <w:r w:rsidR="008F7633">
      <w:rPr>
        <w:rFonts w:ascii="Times New Roman" w:eastAsia="Times New Roman" w:hAnsi="Times New Roman" w:cs="Times New Roman"/>
        <w:spacing w:val="-7"/>
        <w:position w:val="1"/>
      </w:rPr>
      <w:t>Enhancing Clinical Trial Risk Assessment</w:t>
    </w:r>
    <w:r w:rsidR="0088557B">
      <w:rPr>
        <w:rFonts w:ascii="Times New Roman" w:eastAsia="Times New Roman" w:hAnsi="Times New Roman" w:cs="Times New Roman"/>
        <w:spacing w:val="-7"/>
        <w:position w:val="1"/>
      </w:rPr>
      <w:t>}</w:t>
    </w:r>
    <w:r w:rsidR="000F71C0">
      <w:rPr>
        <w:rFonts w:ascii="Times New Roman" w:eastAsia="Times New Roman" w:hAnsi="Times New Roman" w:cs="Times New Roman"/>
        <w:spacing w:val="-7"/>
        <w:position w:val="1"/>
      </w:rPr>
      <w:t xml:space="preserve"> </w:t>
    </w:r>
    <w:r w:rsidR="003301A5">
      <w:rPr>
        <w:rFonts w:ascii="Times New Roman" w:eastAsia="Times New Roman" w:hAnsi="Times New Roman" w:cs="Times New Roman"/>
        <w:spacing w:val="-7"/>
        <w:position w:val="1"/>
      </w:rPr>
      <w:t xml:space="preserve">                                                                                                                                         </w:t>
    </w:r>
    <w:r w:rsidR="0088557B">
      <w:rPr>
        <w:rFonts w:ascii="Times New Roman" w:eastAsia="Times New Roman" w:hAnsi="Times New Roman" w:cs="Times New Roman"/>
        <w:spacing w:val="-4"/>
        <w:position w:val="1"/>
      </w:rPr>
      <w:t xml:space="preserve"> </w:t>
    </w:r>
    <w:sdt>
      <w:sdtPr>
        <w:id w:val="4341899"/>
        <w:docPartObj>
          <w:docPartGallery w:val="Page Numbers (Bottom of Page)"/>
          <w:docPartUnique/>
        </w:docPartObj>
      </w:sdtPr>
      <w:sdtContent>
        <w:r>
          <w:fldChar w:fldCharType="begin"/>
        </w:r>
        <w:r>
          <w:instrText xml:space="preserve"> PAGE   \* MERGEFORMAT </w:instrText>
        </w:r>
        <w:r>
          <w:fldChar w:fldCharType="separate"/>
        </w:r>
        <w:r>
          <w:t>1</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8A3833" w14:textId="77777777" w:rsidR="00E31293" w:rsidRDefault="00E31293" w:rsidP="003301A5">
    <w:pPr>
      <w:pStyle w:val="Footer"/>
      <w:rPr>
        <w:rFonts w:ascii="Times New Roman" w:eastAsia="Times New Roman" w:hAnsi="Times New Roman" w:cs="Times New Roman"/>
        <w:spacing w:val="-7"/>
        <w:position w:val="1"/>
      </w:rPr>
    </w:pPr>
  </w:p>
  <w:p w14:paraId="5C9A9F38" w14:textId="77777777" w:rsidR="00E31293" w:rsidRDefault="00E31293" w:rsidP="003301A5">
    <w:pPr>
      <w:pStyle w:val="Footer"/>
    </w:pPr>
    <w:r>
      <w:rPr>
        <w:rFonts w:ascii="Times New Roman" w:eastAsia="Times New Roman" w:hAnsi="Times New Roman" w:cs="Times New Roman"/>
        <w:spacing w:val="-7"/>
        <w:position w:val="1"/>
      </w:rPr>
      <w:t xml:space="preserve">{Enhancing Clinical Trial Risk Assessment}                                                                                                                                          </w:t>
    </w:r>
    <w:r>
      <w:rPr>
        <w:rFonts w:ascii="Times New Roman" w:eastAsia="Times New Roman" w:hAnsi="Times New Roman" w:cs="Times New Roman"/>
        <w:spacing w:val="-4"/>
        <w:position w:val="1"/>
      </w:rPr>
      <w:t xml:space="preserve"> </w:t>
    </w:r>
    <w:sdt>
      <w:sdtPr>
        <w:id w:val="345531174"/>
        <w:docPartObj>
          <w:docPartGallery w:val="Page Numbers (Bottom of Page)"/>
          <w:docPartUnique/>
        </w:docPartObj>
      </w:sdtPr>
      <w:sdtContent>
        <w:r>
          <w:fldChar w:fldCharType="begin"/>
        </w:r>
        <w:r>
          <w:instrText xml:space="preserve"> PAGE   \* MERGEFORMAT </w:instrText>
        </w:r>
        <w:r>
          <w:fldChar w:fldCharType="separate"/>
        </w:r>
        <w:r>
          <w:t>1</w:t>
        </w:r>
        <w:r>
          <w:rPr>
            <w:noProof/>
          </w:rPr>
          <w:fldChar w:fldCharType="end"/>
        </w:r>
      </w:sdtContent>
    </w:sdt>
  </w:p>
  <w:p w14:paraId="175BD327" w14:textId="6C13B1E5" w:rsidR="00E31293" w:rsidRPr="00C83DB0" w:rsidRDefault="00C83DB0" w:rsidP="00C83DB0">
    <w:pPr>
      <w:pStyle w:val="Footer"/>
      <w:rPr>
        <w:sz w:val="20"/>
        <w:szCs w:val="20"/>
      </w:rPr>
    </w:pPr>
    <w:r>
      <w:rPr>
        <w:sz w:val="20"/>
        <w:szCs w:val="20"/>
      </w:rPr>
      <w:t>*</w:t>
    </w:r>
    <w:r w:rsidR="00F06555">
      <w:rPr>
        <w:sz w:val="20"/>
        <w:szCs w:val="20"/>
      </w:rPr>
      <w:t xml:space="preserve">  </w:t>
    </w:r>
    <w:r w:rsidRPr="00C83DB0">
      <w:rPr>
        <w:sz w:val="20"/>
        <w:szCs w:val="20"/>
      </w:rPr>
      <w:t xml:space="preserve">The authors consider </w:t>
    </w:r>
    <w:r w:rsidRPr="00C83DB0">
      <w:rPr>
        <w:i/>
        <w:iCs/>
        <w:sz w:val="20"/>
        <w:szCs w:val="20"/>
      </w:rPr>
      <w:t>risk assessment, risk log, risk register, risk assessment categorization tool</w:t>
    </w:r>
    <w:r w:rsidRPr="00C83DB0">
      <w:rPr>
        <w:sz w:val="20"/>
        <w:szCs w:val="20"/>
      </w:rPr>
      <w:t xml:space="preserve"> and related terms to all broadly mean the same thing: documentation of risks and their corresponding controls.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22D5B9" w14:textId="77777777" w:rsidR="001477AB" w:rsidRDefault="001477AB" w:rsidP="003301A5">
    <w:pPr>
      <w:pStyle w:val="Footer"/>
      <w:rPr>
        <w:rFonts w:ascii="Times New Roman" w:eastAsia="Times New Roman" w:hAnsi="Times New Roman" w:cs="Times New Roman"/>
        <w:spacing w:val="-7"/>
        <w:position w:val="1"/>
      </w:rPr>
    </w:pPr>
  </w:p>
  <w:p w14:paraId="446DE091" w14:textId="77777777" w:rsidR="001477AB" w:rsidRDefault="001477AB" w:rsidP="003301A5">
    <w:pPr>
      <w:pStyle w:val="Footer"/>
    </w:pPr>
    <w:r>
      <w:rPr>
        <w:rFonts w:ascii="Times New Roman" w:eastAsia="Times New Roman" w:hAnsi="Times New Roman" w:cs="Times New Roman"/>
        <w:spacing w:val="-7"/>
        <w:position w:val="1"/>
      </w:rPr>
      <w:t xml:space="preserve">{Enhancing Clinical Trial Risk Assessment}                                                                                                                                          </w:t>
    </w:r>
    <w:r>
      <w:rPr>
        <w:rFonts w:ascii="Times New Roman" w:eastAsia="Times New Roman" w:hAnsi="Times New Roman" w:cs="Times New Roman"/>
        <w:spacing w:val="-4"/>
        <w:position w:val="1"/>
      </w:rPr>
      <w:t xml:space="preserve"> </w:t>
    </w:r>
    <w:sdt>
      <w:sdtPr>
        <w:id w:val="1991907010"/>
        <w:docPartObj>
          <w:docPartGallery w:val="Page Numbers (Bottom of Page)"/>
          <w:docPartUnique/>
        </w:docPartObj>
      </w:sdtPr>
      <w:sdtContent>
        <w:r>
          <w:fldChar w:fldCharType="begin"/>
        </w:r>
        <w:r>
          <w:instrText xml:space="preserve"> PAGE   \* MERGEFORMAT </w:instrText>
        </w:r>
        <w:r>
          <w:fldChar w:fldCharType="separate"/>
        </w:r>
        <w:r>
          <w:t>1</w:t>
        </w:r>
        <w:r>
          <w:rPr>
            <w:noProof/>
          </w:rPr>
          <w:fldChar w:fldCharType="end"/>
        </w:r>
      </w:sdtContent>
    </w:sdt>
  </w:p>
  <w:p w14:paraId="464CE3A8" w14:textId="27751828" w:rsidR="001477AB" w:rsidRPr="00C83DB0" w:rsidRDefault="001477AB" w:rsidP="00C83DB0">
    <w:pPr>
      <w:pStyle w:val="Footer"/>
      <w:rPr>
        <w:sz w:val="20"/>
        <w:szCs w:val="20"/>
      </w:rPr>
    </w:pPr>
    <w:r>
      <w:rPr>
        <w:sz w:val="20"/>
        <w:szCs w:val="20"/>
      </w:rPr>
      <w:t xml:space="preserve">*  </w:t>
    </w:r>
    <w:r w:rsidRPr="001477AB">
      <w:rPr>
        <w:sz w:val="20"/>
        <w:szCs w:val="20"/>
      </w:rPr>
      <w:t>When using AI, reference FDA and EMA’s Guiding Principles of Good AI Practice in Drug Development along with your organization’s guidance.</w:t>
    </w:r>
    <w:r w:rsidR="00F4350D">
      <w:rPr>
        <w:sz w:val="20"/>
        <w:szCs w:val="20"/>
      </w:rPr>
      <w:t xml:space="preserve">  This applies to all AI mentions throughout the document.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746A57" w14:textId="77777777" w:rsidR="001477AB" w:rsidRDefault="001477AB" w:rsidP="003301A5">
    <w:pPr>
      <w:pStyle w:val="Footer"/>
      <w:rPr>
        <w:rFonts w:ascii="Times New Roman" w:eastAsia="Times New Roman" w:hAnsi="Times New Roman" w:cs="Times New Roman"/>
        <w:spacing w:val="-7"/>
        <w:position w:val="1"/>
      </w:rPr>
    </w:pPr>
  </w:p>
  <w:p w14:paraId="5D875095" w14:textId="56A4C36C" w:rsidR="001477AB" w:rsidRPr="001477AB" w:rsidRDefault="001477AB" w:rsidP="00C83DB0">
    <w:pPr>
      <w:pStyle w:val="Footer"/>
    </w:pPr>
    <w:r>
      <w:rPr>
        <w:rFonts w:ascii="Times New Roman" w:eastAsia="Times New Roman" w:hAnsi="Times New Roman" w:cs="Times New Roman"/>
        <w:spacing w:val="-7"/>
        <w:position w:val="1"/>
      </w:rPr>
      <w:t xml:space="preserve">{Enhancing Clinical Trial Risk Assessment}                                                                                                                                          </w:t>
    </w:r>
    <w:r>
      <w:rPr>
        <w:rFonts w:ascii="Times New Roman" w:eastAsia="Times New Roman" w:hAnsi="Times New Roman" w:cs="Times New Roman"/>
        <w:spacing w:val="-4"/>
        <w:position w:val="1"/>
      </w:rPr>
      <w:t xml:space="preserve"> </w:t>
    </w:r>
    <w:sdt>
      <w:sdtPr>
        <w:id w:val="994538863"/>
        <w:docPartObj>
          <w:docPartGallery w:val="Page Numbers (Bottom of Page)"/>
          <w:docPartUnique/>
        </w:docPartObj>
      </w:sdt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6456FC" w14:textId="77777777" w:rsidR="003A6052" w:rsidRDefault="003A6052" w:rsidP="0088557B">
      <w:pPr>
        <w:spacing w:after="0" w:line="240" w:lineRule="auto"/>
      </w:pPr>
      <w:r>
        <w:separator/>
      </w:r>
    </w:p>
  </w:footnote>
  <w:footnote w:type="continuationSeparator" w:id="0">
    <w:p w14:paraId="394ADA80" w14:textId="77777777" w:rsidR="003A6052" w:rsidRDefault="003A6052" w:rsidP="00885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4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5799"/>
      <w:gridCol w:w="2124"/>
    </w:tblGrid>
    <w:tr w:rsidR="0088557B" w14:paraId="76B6C8A1" w14:textId="77777777" w:rsidTr="00E87525">
      <w:trPr>
        <w:trHeight w:hRule="exact" w:val="1286"/>
      </w:trPr>
      <w:tc>
        <w:tcPr>
          <w:tcW w:w="1541" w:type="dxa"/>
        </w:tcPr>
        <w:p w14:paraId="4EDAD78D" w14:textId="34A04455" w:rsidR="0088557B" w:rsidRDefault="00A16FE0" w:rsidP="0041543F">
          <w:pPr>
            <w:spacing w:before="71" w:after="0" w:line="240" w:lineRule="auto"/>
            <w:ind w:left="102" w:right="-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36A3631" wp14:editId="39903648">
                <wp:extent cx="837282" cy="694055"/>
                <wp:effectExtent l="0" t="0" r="0" b="0"/>
                <wp:docPr id="816239862" name="Picture 81623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681 PHUSE Logo June 2019 RGB FINAL (2).png"/>
                        <pic:cNvPicPr/>
                      </pic:nvPicPr>
                      <pic:blipFill>
                        <a:blip r:embed="rId1">
                          <a:extLst>
                            <a:ext uri="{28A0092B-C50C-407E-A947-70E740481C1C}">
                              <a14:useLocalDpi xmlns:a14="http://schemas.microsoft.com/office/drawing/2010/main" val="0"/>
                            </a:ext>
                          </a:extLst>
                        </a:blip>
                        <a:stretch>
                          <a:fillRect/>
                        </a:stretch>
                      </pic:blipFill>
                      <pic:spPr>
                        <a:xfrm>
                          <a:off x="0" y="0"/>
                          <a:ext cx="843913" cy="699552"/>
                        </a:xfrm>
                        <a:prstGeom prst="rect">
                          <a:avLst/>
                        </a:prstGeom>
                      </pic:spPr>
                    </pic:pic>
                  </a:graphicData>
                </a:graphic>
              </wp:inline>
            </w:drawing>
          </w:r>
        </w:p>
      </w:tc>
      <w:tc>
        <w:tcPr>
          <w:tcW w:w="5799" w:type="dxa"/>
        </w:tcPr>
        <w:p w14:paraId="2C75E675" w14:textId="77777777" w:rsidR="00E87525" w:rsidRDefault="00E87525" w:rsidP="0041543F">
          <w:pPr>
            <w:tabs>
              <w:tab w:val="left" w:pos="1520"/>
            </w:tabs>
            <w:spacing w:after="0" w:line="264" w:lineRule="exact"/>
            <w:ind w:left="100" w:right="-20"/>
            <w:rPr>
              <w:rFonts w:ascii="Calibri" w:eastAsia="Calibri" w:hAnsi="Calibri" w:cs="Calibri"/>
              <w:spacing w:val="1"/>
              <w:position w:val="1"/>
            </w:rPr>
          </w:pPr>
        </w:p>
        <w:p w14:paraId="3C8C1C82" w14:textId="4E798993" w:rsidR="0088557B" w:rsidRDefault="00CF5373" w:rsidP="0041543F">
          <w:pPr>
            <w:tabs>
              <w:tab w:val="left" w:pos="1520"/>
            </w:tabs>
            <w:spacing w:after="0" w:line="264" w:lineRule="exact"/>
            <w:ind w:left="100" w:right="-20"/>
            <w:rPr>
              <w:rFonts w:ascii="Calibri" w:eastAsia="Calibri" w:hAnsi="Calibri" w:cs="Calibri"/>
            </w:rPr>
          </w:pPr>
          <w:r>
            <w:rPr>
              <w:rFonts w:ascii="Calibri" w:eastAsia="Calibri" w:hAnsi="Calibri" w:cs="Calibri"/>
              <w:spacing w:val="1"/>
              <w:position w:val="1"/>
            </w:rPr>
            <w:t>DOC.ID</w:t>
          </w:r>
          <w:r w:rsidR="0088557B">
            <w:rPr>
              <w:rFonts w:ascii="Calibri" w:eastAsia="Calibri" w:hAnsi="Calibri" w:cs="Calibri"/>
              <w:position w:val="1"/>
            </w:rPr>
            <w:t>:</w:t>
          </w:r>
          <w:r w:rsidR="0088557B">
            <w:rPr>
              <w:rFonts w:ascii="Times New Roman" w:eastAsia="Times New Roman" w:hAnsi="Times New Roman" w:cs="Times New Roman"/>
              <w:position w:val="1"/>
            </w:rPr>
            <w:tab/>
          </w:r>
          <w:r w:rsidR="00717F0F" w:rsidRPr="00717F0F">
            <w:rPr>
              <w:rFonts w:ascii="Times New Roman" w:eastAsia="Times New Roman" w:hAnsi="Times New Roman" w:cs="Times New Roman"/>
              <w:i/>
              <w:position w:val="1"/>
            </w:rPr>
            <w:t>WP-121</w:t>
          </w:r>
        </w:p>
        <w:p w14:paraId="662E6A5C" w14:textId="02A36411" w:rsidR="0088557B" w:rsidRDefault="00CF5373" w:rsidP="0041543F">
          <w:pPr>
            <w:tabs>
              <w:tab w:val="left" w:pos="1520"/>
            </w:tabs>
            <w:spacing w:after="0" w:line="264" w:lineRule="exact"/>
            <w:ind w:left="100" w:right="-20"/>
            <w:rPr>
              <w:rFonts w:ascii="Times New Roman" w:eastAsia="Times New Roman" w:hAnsi="Times New Roman" w:cs="Times New Roman"/>
              <w:i/>
              <w:position w:val="1"/>
            </w:rPr>
          </w:pPr>
          <w:r>
            <w:rPr>
              <w:rFonts w:ascii="Calibri" w:eastAsia="Calibri" w:hAnsi="Calibri" w:cs="Calibri"/>
              <w:spacing w:val="1"/>
            </w:rPr>
            <w:t>Version</w:t>
          </w:r>
          <w:r w:rsidR="0088557B">
            <w:rPr>
              <w:rFonts w:ascii="Calibri" w:eastAsia="Calibri" w:hAnsi="Calibri" w:cs="Calibri"/>
            </w:rPr>
            <w:t>:</w:t>
          </w:r>
          <w:r w:rsidR="0088557B">
            <w:rPr>
              <w:rFonts w:ascii="Times New Roman" w:eastAsia="Times New Roman" w:hAnsi="Times New Roman" w:cs="Times New Roman"/>
            </w:rPr>
            <w:tab/>
          </w:r>
          <w:r w:rsidR="00717F0F">
            <w:rPr>
              <w:rFonts w:ascii="Times New Roman" w:eastAsia="Times New Roman" w:hAnsi="Times New Roman" w:cs="Times New Roman"/>
              <w:i/>
              <w:position w:val="1"/>
            </w:rPr>
            <w:t>V1</w:t>
          </w:r>
        </w:p>
        <w:p w14:paraId="7E9BB203" w14:textId="43EFF91F" w:rsidR="00681863" w:rsidRPr="00681863" w:rsidRDefault="00681863" w:rsidP="0041543F">
          <w:pPr>
            <w:tabs>
              <w:tab w:val="left" w:pos="1520"/>
            </w:tabs>
            <w:spacing w:after="0" w:line="264" w:lineRule="exact"/>
            <w:ind w:left="100" w:right="-20"/>
            <w:rPr>
              <w:rFonts w:eastAsia="Calibri" w:cstheme="minorHAnsi"/>
              <w:iCs/>
            </w:rPr>
          </w:pPr>
          <w:r w:rsidRPr="00681863">
            <w:rPr>
              <w:rFonts w:eastAsia="Times New Roman" w:cstheme="minorHAnsi"/>
              <w:iCs/>
              <w:position w:val="1"/>
            </w:rPr>
            <w:t xml:space="preserve">Date: </w:t>
          </w:r>
          <w:r w:rsidR="00717F0F">
            <w:rPr>
              <w:rFonts w:eastAsia="Times New Roman" w:cstheme="minorHAnsi"/>
              <w:iCs/>
              <w:position w:val="1"/>
            </w:rPr>
            <w:t xml:space="preserve">                  29/05/26</w:t>
          </w:r>
        </w:p>
        <w:p w14:paraId="1DB34209" w14:textId="77777777" w:rsidR="0088557B" w:rsidRDefault="0088557B" w:rsidP="0041543F">
          <w:pPr>
            <w:tabs>
              <w:tab w:val="left" w:pos="1520"/>
            </w:tabs>
            <w:spacing w:after="0" w:line="240" w:lineRule="auto"/>
            <w:ind w:left="100" w:right="-20"/>
            <w:rPr>
              <w:rFonts w:ascii="Calibri" w:eastAsia="Calibri" w:hAnsi="Calibri" w:cs="Calibri"/>
            </w:rPr>
          </w:pPr>
        </w:p>
      </w:tc>
      <w:tc>
        <w:tcPr>
          <w:tcW w:w="2124" w:type="dxa"/>
        </w:tcPr>
        <w:p w14:paraId="00F91B5B" w14:textId="77777777" w:rsidR="0088557B" w:rsidRDefault="0088557B" w:rsidP="0041543F">
          <w:pPr>
            <w:spacing w:before="4" w:after="0" w:line="200" w:lineRule="exact"/>
            <w:rPr>
              <w:sz w:val="20"/>
              <w:szCs w:val="20"/>
            </w:rPr>
          </w:pPr>
        </w:p>
        <w:p w14:paraId="6F9B1B7E" w14:textId="77777777" w:rsidR="0088557B" w:rsidRDefault="0088557B" w:rsidP="0041543F">
          <w:pPr>
            <w:spacing w:after="0" w:line="242" w:lineRule="exact"/>
            <w:ind w:left="97" w:right="73"/>
            <w:rPr>
              <w:rFonts w:ascii="Times New Roman" w:eastAsia="Times New Roman" w:hAnsi="Times New Roman" w:cs="Times New Roman"/>
              <w:sz w:val="20"/>
              <w:szCs w:val="20"/>
            </w:rPr>
          </w:pPr>
          <w:r>
            <w:rPr>
              <w:rFonts w:ascii="Calibri" w:eastAsia="Calibri" w:hAnsi="Calibri" w:cs="Calibri"/>
              <w:spacing w:val="1"/>
              <w:sz w:val="20"/>
              <w:szCs w:val="20"/>
            </w:rPr>
            <w:t>Wo</w:t>
          </w:r>
          <w:r>
            <w:rPr>
              <w:rFonts w:ascii="Calibri" w:eastAsia="Calibri" w:hAnsi="Calibri" w:cs="Calibri"/>
              <w:spacing w:val="-1"/>
              <w:sz w:val="20"/>
              <w:szCs w:val="20"/>
            </w:rPr>
            <w:t>r</w:t>
          </w:r>
          <w:r>
            <w:rPr>
              <w:rFonts w:ascii="Calibri" w:eastAsia="Calibri" w:hAnsi="Calibri" w:cs="Calibri"/>
              <w:spacing w:val="1"/>
              <w:sz w:val="20"/>
              <w:szCs w:val="20"/>
            </w:rPr>
            <w:t>k</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g</w:t>
          </w:r>
          <w:r>
            <w:rPr>
              <w:rFonts w:ascii="Times New Roman" w:eastAsia="Times New Roman" w:hAnsi="Times New Roman" w:cs="Times New Roman"/>
              <w:spacing w:val="-8"/>
              <w:sz w:val="20"/>
              <w:szCs w:val="20"/>
            </w:rPr>
            <w:t xml:space="preserve"> </w:t>
          </w:r>
          <w:r>
            <w:rPr>
              <w:rFonts w:ascii="Calibri" w:eastAsia="Calibri" w:hAnsi="Calibri" w:cs="Calibri"/>
              <w:spacing w:val="-1"/>
              <w:sz w:val="20"/>
              <w:szCs w:val="20"/>
            </w:rPr>
            <w:t>Gr</w:t>
          </w:r>
          <w:r>
            <w:rPr>
              <w:rFonts w:ascii="Calibri" w:eastAsia="Calibri" w:hAnsi="Calibri" w:cs="Calibri"/>
              <w:spacing w:val="1"/>
              <w:sz w:val="20"/>
              <w:szCs w:val="20"/>
            </w:rPr>
            <w:t>oup</w:t>
          </w:r>
          <w:r>
            <w:rPr>
              <w:rFonts w:ascii="Calibri" w:eastAsia="Calibri" w:hAnsi="Calibri" w:cs="Calibri"/>
              <w:sz w:val="20"/>
              <w:szCs w:val="20"/>
            </w:rPr>
            <w:t>:</w:t>
          </w:r>
          <w:r>
            <w:rPr>
              <w:rFonts w:ascii="Times New Roman" w:eastAsia="Times New Roman" w:hAnsi="Times New Roman" w:cs="Times New Roman"/>
              <w:sz w:val="20"/>
              <w:szCs w:val="20"/>
            </w:rPr>
            <w:t xml:space="preserve"> </w:t>
          </w:r>
        </w:p>
        <w:p w14:paraId="2C7A9BC6" w14:textId="7EAD7FD4" w:rsidR="0088557B" w:rsidRPr="006670B3" w:rsidRDefault="00C23162" w:rsidP="0041543F">
          <w:pPr>
            <w:spacing w:after="0" w:line="242" w:lineRule="exact"/>
            <w:ind w:left="97" w:right="73"/>
            <w:rPr>
              <w:rFonts w:ascii="Calibri" w:eastAsia="Calibri" w:hAnsi="Calibri" w:cs="Calibri"/>
              <w:i/>
              <w:sz w:val="20"/>
              <w:szCs w:val="20"/>
            </w:rPr>
          </w:pPr>
          <w:r>
            <w:rPr>
              <w:rFonts w:ascii="Calibri" w:eastAsia="Calibri" w:hAnsi="Calibri" w:cs="Calibri"/>
              <w:i/>
              <w:spacing w:val="1"/>
              <w:sz w:val="20"/>
              <w:szCs w:val="20"/>
            </w:rPr>
            <w:t>RBQM: Risk Assessment</w:t>
          </w:r>
        </w:p>
      </w:tc>
    </w:tr>
  </w:tbl>
  <w:p w14:paraId="5D3BB030" w14:textId="77777777" w:rsidR="0088557B" w:rsidRDefault="00885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D3F5F"/>
    <w:multiLevelType w:val="hybridMultilevel"/>
    <w:tmpl w:val="C294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61FBA"/>
    <w:multiLevelType w:val="multilevel"/>
    <w:tmpl w:val="BEE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894A1A"/>
    <w:multiLevelType w:val="multilevel"/>
    <w:tmpl w:val="0D10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FB7F02"/>
    <w:multiLevelType w:val="multilevel"/>
    <w:tmpl w:val="6D84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943181"/>
    <w:multiLevelType w:val="multilevel"/>
    <w:tmpl w:val="A39C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797EA3"/>
    <w:multiLevelType w:val="multilevel"/>
    <w:tmpl w:val="1DC0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0538A8"/>
    <w:multiLevelType w:val="multilevel"/>
    <w:tmpl w:val="905A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DB4BC3"/>
    <w:multiLevelType w:val="hybridMultilevel"/>
    <w:tmpl w:val="5F2A5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246A03"/>
    <w:multiLevelType w:val="hybridMultilevel"/>
    <w:tmpl w:val="92DA2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31A60"/>
    <w:multiLevelType w:val="multilevel"/>
    <w:tmpl w:val="3C50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1A4BB6"/>
    <w:multiLevelType w:val="multilevel"/>
    <w:tmpl w:val="A422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197244"/>
    <w:multiLevelType w:val="multilevel"/>
    <w:tmpl w:val="E958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D827D5"/>
    <w:multiLevelType w:val="multilevel"/>
    <w:tmpl w:val="A3AE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26248B"/>
    <w:multiLevelType w:val="hybridMultilevel"/>
    <w:tmpl w:val="604E2494"/>
    <w:lvl w:ilvl="0" w:tplc="AFD409A8">
      <w:start w:val="1"/>
      <w:numFmt w:val="bullet"/>
      <w:lvlText w:val=""/>
      <w:lvlJc w:val="left"/>
      <w:pPr>
        <w:ind w:left="720" w:hanging="360"/>
      </w:pPr>
      <w:rPr>
        <w:rFonts w:ascii="Symbol" w:eastAsia="Symbol" w:hAnsi="Symbol" w:cs="Symbol"/>
      </w:rPr>
    </w:lvl>
    <w:lvl w:ilvl="1" w:tplc="DA522A52">
      <w:start w:val="1"/>
      <w:numFmt w:val="bullet"/>
      <w:lvlText w:val="o"/>
      <w:lvlJc w:val="left"/>
      <w:pPr>
        <w:ind w:left="1440" w:hanging="360"/>
      </w:pPr>
      <w:rPr>
        <w:rFonts w:ascii="Courier New" w:eastAsia="Courier New" w:hAnsi="Courier New" w:cs="Courier New"/>
      </w:rPr>
    </w:lvl>
    <w:lvl w:ilvl="2" w:tplc="0D70ED2A">
      <w:start w:val="1"/>
      <w:numFmt w:val="bullet"/>
      <w:lvlText w:val=""/>
      <w:lvlJc w:val="left"/>
      <w:pPr>
        <w:ind w:left="2160" w:hanging="360"/>
      </w:pPr>
      <w:rPr>
        <w:rFonts w:ascii="Wingdings" w:eastAsia="Wingdings" w:hAnsi="Wingdings" w:cs="Wingdings"/>
      </w:rPr>
    </w:lvl>
    <w:lvl w:ilvl="3" w:tplc="104EBCEC">
      <w:start w:val="1"/>
      <w:numFmt w:val="bullet"/>
      <w:lvlText w:val=""/>
      <w:lvlJc w:val="left"/>
      <w:pPr>
        <w:ind w:left="2880" w:hanging="360"/>
      </w:pPr>
      <w:rPr>
        <w:rFonts w:ascii="Symbol" w:eastAsia="Symbol" w:hAnsi="Symbol" w:cs="Symbol"/>
      </w:rPr>
    </w:lvl>
    <w:lvl w:ilvl="4" w:tplc="48A0792A">
      <w:start w:val="1"/>
      <w:numFmt w:val="bullet"/>
      <w:lvlText w:val="o"/>
      <w:lvlJc w:val="left"/>
      <w:pPr>
        <w:ind w:left="3600" w:hanging="360"/>
      </w:pPr>
      <w:rPr>
        <w:rFonts w:ascii="Courier New" w:eastAsia="Courier New" w:hAnsi="Courier New" w:cs="Courier New"/>
      </w:rPr>
    </w:lvl>
    <w:lvl w:ilvl="5" w:tplc="E74040AC">
      <w:start w:val="1"/>
      <w:numFmt w:val="bullet"/>
      <w:lvlText w:val=""/>
      <w:lvlJc w:val="left"/>
      <w:pPr>
        <w:ind w:left="4320" w:hanging="360"/>
      </w:pPr>
      <w:rPr>
        <w:rFonts w:ascii="Wingdings" w:eastAsia="Wingdings" w:hAnsi="Wingdings" w:cs="Wingdings"/>
      </w:rPr>
    </w:lvl>
    <w:lvl w:ilvl="6" w:tplc="8C4836A2">
      <w:start w:val="1"/>
      <w:numFmt w:val="bullet"/>
      <w:lvlText w:val=""/>
      <w:lvlJc w:val="left"/>
      <w:pPr>
        <w:ind w:left="5040" w:hanging="360"/>
      </w:pPr>
      <w:rPr>
        <w:rFonts w:ascii="Symbol" w:eastAsia="Symbol" w:hAnsi="Symbol" w:cs="Symbol"/>
      </w:rPr>
    </w:lvl>
    <w:lvl w:ilvl="7" w:tplc="3D986AF6">
      <w:start w:val="1"/>
      <w:numFmt w:val="bullet"/>
      <w:lvlText w:val="o"/>
      <w:lvlJc w:val="left"/>
      <w:pPr>
        <w:ind w:left="5760" w:hanging="360"/>
      </w:pPr>
      <w:rPr>
        <w:rFonts w:ascii="Courier New" w:eastAsia="Courier New" w:hAnsi="Courier New" w:cs="Courier New"/>
      </w:rPr>
    </w:lvl>
    <w:lvl w:ilvl="8" w:tplc="BC3E2E1C">
      <w:start w:val="1"/>
      <w:numFmt w:val="bullet"/>
      <w:lvlText w:val=""/>
      <w:lvlJc w:val="left"/>
      <w:pPr>
        <w:ind w:left="6480" w:hanging="360"/>
      </w:pPr>
      <w:rPr>
        <w:rFonts w:ascii="Wingdings" w:eastAsia="Wingdings" w:hAnsi="Wingdings" w:cs="Wingdings"/>
      </w:rPr>
    </w:lvl>
  </w:abstractNum>
  <w:abstractNum w:abstractNumId="14" w15:restartNumberingAfterBreak="0">
    <w:nsid w:val="255D23AC"/>
    <w:multiLevelType w:val="multilevel"/>
    <w:tmpl w:val="50DA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D475E3"/>
    <w:multiLevelType w:val="multilevel"/>
    <w:tmpl w:val="9C8E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5A284B"/>
    <w:multiLevelType w:val="multilevel"/>
    <w:tmpl w:val="F7F6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6F4158"/>
    <w:multiLevelType w:val="multilevel"/>
    <w:tmpl w:val="0F12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0827BC"/>
    <w:multiLevelType w:val="multilevel"/>
    <w:tmpl w:val="2828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0B4675"/>
    <w:multiLevelType w:val="multilevel"/>
    <w:tmpl w:val="4F76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667AC8"/>
    <w:multiLevelType w:val="multilevel"/>
    <w:tmpl w:val="414C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971FE"/>
    <w:multiLevelType w:val="multilevel"/>
    <w:tmpl w:val="B93E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6E2C90"/>
    <w:multiLevelType w:val="multilevel"/>
    <w:tmpl w:val="793C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DE1809"/>
    <w:multiLevelType w:val="multilevel"/>
    <w:tmpl w:val="A158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61450B"/>
    <w:multiLevelType w:val="multilevel"/>
    <w:tmpl w:val="FF5A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340F4E"/>
    <w:multiLevelType w:val="multilevel"/>
    <w:tmpl w:val="BEDE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771CAF"/>
    <w:multiLevelType w:val="hybridMultilevel"/>
    <w:tmpl w:val="21A88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A9382D"/>
    <w:multiLevelType w:val="multilevel"/>
    <w:tmpl w:val="C9BA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EA4D79"/>
    <w:multiLevelType w:val="multilevel"/>
    <w:tmpl w:val="C498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6C4AFF"/>
    <w:multiLevelType w:val="hybridMultilevel"/>
    <w:tmpl w:val="EAECED94"/>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4AEA30F0"/>
    <w:multiLevelType w:val="hybridMultilevel"/>
    <w:tmpl w:val="6A8A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0D04E6"/>
    <w:multiLevelType w:val="multilevel"/>
    <w:tmpl w:val="14EE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312E53"/>
    <w:multiLevelType w:val="hybridMultilevel"/>
    <w:tmpl w:val="A9804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A74E61"/>
    <w:multiLevelType w:val="multilevel"/>
    <w:tmpl w:val="47C6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888179"/>
    <w:multiLevelType w:val="hybridMultilevel"/>
    <w:tmpl w:val="2F3A34FC"/>
    <w:lvl w:ilvl="0" w:tplc="202A6A24">
      <w:start w:val="1"/>
      <w:numFmt w:val="decimal"/>
      <w:lvlText w:val="%1."/>
      <w:lvlJc w:val="left"/>
      <w:pPr>
        <w:ind w:left="720" w:hanging="360"/>
      </w:pPr>
    </w:lvl>
    <w:lvl w:ilvl="1" w:tplc="71AC66C6">
      <w:start w:val="1"/>
      <w:numFmt w:val="lowerLetter"/>
      <w:lvlText w:val="%2."/>
      <w:lvlJc w:val="left"/>
      <w:pPr>
        <w:ind w:left="1440" w:hanging="360"/>
      </w:pPr>
    </w:lvl>
    <w:lvl w:ilvl="2" w:tplc="33525798">
      <w:start w:val="1"/>
      <w:numFmt w:val="lowerRoman"/>
      <w:lvlText w:val="%3."/>
      <w:lvlJc w:val="right"/>
      <w:pPr>
        <w:ind w:left="2160" w:hanging="180"/>
      </w:pPr>
    </w:lvl>
    <w:lvl w:ilvl="3" w:tplc="C27CB8CE">
      <w:start w:val="1"/>
      <w:numFmt w:val="decimal"/>
      <w:lvlText w:val="%4."/>
      <w:lvlJc w:val="left"/>
      <w:pPr>
        <w:ind w:left="2880" w:hanging="360"/>
      </w:pPr>
    </w:lvl>
    <w:lvl w:ilvl="4" w:tplc="51C4425C">
      <w:start w:val="1"/>
      <w:numFmt w:val="lowerLetter"/>
      <w:lvlText w:val="%5."/>
      <w:lvlJc w:val="left"/>
      <w:pPr>
        <w:ind w:left="3600" w:hanging="360"/>
      </w:pPr>
    </w:lvl>
    <w:lvl w:ilvl="5" w:tplc="313E8AE6">
      <w:start w:val="1"/>
      <w:numFmt w:val="lowerRoman"/>
      <w:lvlText w:val="%6."/>
      <w:lvlJc w:val="right"/>
      <w:pPr>
        <w:ind w:left="4320" w:hanging="180"/>
      </w:pPr>
    </w:lvl>
    <w:lvl w:ilvl="6" w:tplc="3DCE79AC">
      <w:start w:val="1"/>
      <w:numFmt w:val="decimal"/>
      <w:lvlText w:val="%7."/>
      <w:lvlJc w:val="left"/>
      <w:pPr>
        <w:ind w:left="5040" w:hanging="360"/>
      </w:pPr>
    </w:lvl>
    <w:lvl w:ilvl="7" w:tplc="4E7EB5CE">
      <w:start w:val="1"/>
      <w:numFmt w:val="lowerLetter"/>
      <w:lvlText w:val="%8."/>
      <w:lvlJc w:val="left"/>
      <w:pPr>
        <w:ind w:left="5760" w:hanging="360"/>
      </w:pPr>
    </w:lvl>
    <w:lvl w:ilvl="8" w:tplc="1F7668CA">
      <w:start w:val="1"/>
      <w:numFmt w:val="lowerRoman"/>
      <w:lvlText w:val="%9."/>
      <w:lvlJc w:val="right"/>
      <w:pPr>
        <w:ind w:left="6480" w:hanging="180"/>
      </w:pPr>
    </w:lvl>
  </w:abstractNum>
  <w:abstractNum w:abstractNumId="35" w15:restartNumberingAfterBreak="0">
    <w:nsid w:val="5DD91070"/>
    <w:multiLevelType w:val="hybridMultilevel"/>
    <w:tmpl w:val="8878F524"/>
    <w:lvl w:ilvl="0" w:tplc="ECEA77D4">
      <w:start w:val="1"/>
      <w:numFmt w:val="decimal"/>
      <w:lvlText w:val="%1."/>
      <w:lvlJc w:val="left"/>
      <w:pPr>
        <w:ind w:left="1020" w:hanging="360"/>
      </w:pPr>
    </w:lvl>
    <w:lvl w:ilvl="1" w:tplc="6A107058">
      <w:start w:val="1"/>
      <w:numFmt w:val="decimal"/>
      <w:lvlText w:val="%2."/>
      <w:lvlJc w:val="left"/>
      <w:pPr>
        <w:ind w:left="1020" w:hanging="360"/>
      </w:pPr>
    </w:lvl>
    <w:lvl w:ilvl="2" w:tplc="6BA88242">
      <w:start w:val="1"/>
      <w:numFmt w:val="decimal"/>
      <w:lvlText w:val="%3."/>
      <w:lvlJc w:val="left"/>
      <w:pPr>
        <w:ind w:left="1020" w:hanging="360"/>
      </w:pPr>
    </w:lvl>
    <w:lvl w:ilvl="3" w:tplc="ABA6AC2E">
      <w:start w:val="1"/>
      <w:numFmt w:val="decimal"/>
      <w:lvlText w:val="%4."/>
      <w:lvlJc w:val="left"/>
      <w:pPr>
        <w:ind w:left="1020" w:hanging="360"/>
      </w:pPr>
    </w:lvl>
    <w:lvl w:ilvl="4" w:tplc="F76CA72E">
      <w:start w:val="1"/>
      <w:numFmt w:val="decimal"/>
      <w:lvlText w:val="%5."/>
      <w:lvlJc w:val="left"/>
      <w:pPr>
        <w:ind w:left="1020" w:hanging="360"/>
      </w:pPr>
    </w:lvl>
    <w:lvl w:ilvl="5" w:tplc="F9500066">
      <w:start w:val="1"/>
      <w:numFmt w:val="decimal"/>
      <w:lvlText w:val="%6."/>
      <w:lvlJc w:val="left"/>
      <w:pPr>
        <w:ind w:left="1020" w:hanging="360"/>
      </w:pPr>
    </w:lvl>
    <w:lvl w:ilvl="6" w:tplc="9B4C1F82">
      <w:start w:val="1"/>
      <w:numFmt w:val="decimal"/>
      <w:lvlText w:val="%7."/>
      <w:lvlJc w:val="left"/>
      <w:pPr>
        <w:ind w:left="1020" w:hanging="360"/>
      </w:pPr>
    </w:lvl>
    <w:lvl w:ilvl="7" w:tplc="0ECC09BE">
      <w:start w:val="1"/>
      <w:numFmt w:val="decimal"/>
      <w:lvlText w:val="%8."/>
      <w:lvlJc w:val="left"/>
      <w:pPr>
        <w:ind w:left="1020" w:hanging="360"/>
      </w:pPr>
    </w:lvl>
    <w:lvl w:ilvl="8" w:tplc="2AB498EE">
      <w:start w:val="1"/>
      <w:numFmt w:val="decimal"/>
      <w:lvlText w:val="%9."/>
      <w:lvlJc w:val="left"/>
      <w:pPr>
        <w:ind w:left="1020" w:hanging="360"/>
      </w:pPr>
    </w:lvl>
  </w:abstractNum>
  <w:abstractNum w:abstractNumId="36" w15:restartNumberingAfterBreak="0">
    <w:nsid w:val="5EB62931"/>
    <w:multiLevelType w:val="multilevel"/>
    <w:tmpl w:val="CD3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1863E7"/>
    <w:multiLevelType w:val="hybridMultilevel"/>
    <w:tmpl w:val="D1DA2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497577"/>
    <w:multiLevelType w:val="multilevel"/>
    <w:tmpl w:val="2C18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C072B1"/>
    <w:multiLevelType w:val="multilevel"/>
    <w:tmpl w:val="9816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8616C9"/>
    <w:multiLevelType w:val="hybridMultilevel"/>
    <w:tmpl w:val="9962BC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BFC7478"/>
    <w:multiLevelType w:val="multilevel"/>
    <w:tmpl w:val="CA1C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76713E"/>
    <w:multiLevelType w:val="multilevel"/>
    <w:tmpl w:val="7108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A8019A"/>
    <w:multiLevelType w:val="multilevel"/>
    <w:tmpl w:val="58FC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4667EC"/>
    <w:multiLevelType w:val="multilevel"/>
    <w:tmpl w:val="2662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DD7F09"/>
    <w:multiLevelType w:val="multilevel"/>
    <w:tmpl w:val="A34C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D9BA51"/>
    <w:multiLevelType w:val="hybridMultilevel"/>
    <w:tmpl w:val="7C4E3584"/>
    <w:lvl w:ilvl="0" w:tplc="8DB82DDC">
      <w:start w:val="1"/>
      <w:numFmt w:val="bullet"/>
      <w:lvlText w:val=""/>
      <w:lvlJc w:val="left"/>
      <w:pPr>
        <w:ind w:left="720" w:hanging="360"/>
      </w:pPr>
      <w:rPr>
        <w:rFonts w:ascii="Symbol" w:hAnsi="Symbol" w:hint="default"/>
      </w:rPr>
    </w:lvl>
    <w:lvl w:ilvl="1" w:tplc="C68C7E04">
      <w:start w:val="1"/>
      <w:numFmt w:val="bullet"/>
      <w:lvlText w:val="o"/>
      <w:lvlJc w:val="left"/>
      <w:pPr>
        <w:ind w:left="1440" w:hanging="360"/>
      </w:pPr>
      <w:rPr>
        <w:rFonts w:ascii="Courier New" w:hAnsi="Courier New" w:hint="default"/>
      </w:rPr>
    </w:lvl>
    <w:lvl w:ilvl="2" w:tplc="017671F2">
      <w:start w:val="1"/>
      <w:numFmt w:val="bullet"/>
      <w:lvlText w:val=""/>
      <w:lvlJc w:val="left"/>
      <w:pPr>
        <w:ind w:left="2160" w:hanging="360"/>
      </w:pPr>
      <w:rPr>
        <w:rFonts w:ascii="Wingdings" w:hAnsi="Wingdings" w:hint="default"/>
      </w:rPr>
    </w:lvl>
    <w:lvl w:ilvl="3" w:tplc="C72A28FE">
      <w:start w:val="1"/>
      <w:numFmt w:val="bullet"/>
      <w:lvlText w:val=""/>
      <w:lvlJc w:val="left"/>
      <w:pPr>
        <w:ind w:left="2880" w:hanging="360"/>
      </w:pPr>
      <w:rPr>
        <w:rFonts w:ascii="Symbol" w:hAnsi="Symbol" w:hint="default"/>
      </w:rPr>
    </w:lvl>
    <w:lvl w:ilvl="4" w:tplc="156E972E">
      <w:start w:val="1"/>
      <w:numFmt w:val="bullet"/>
      <w:lvlText w:val="o"/>
      <w:lvlJc w:val="left"/>
      <w:pPr>
        <w:ind w:left="3600" w:hanging="360"/>
      </w:pPr>
      <w:rPr>
        <w:rFonts w:ascii="Courier New" w:hAnsi="Courier New" w:hint="default"/>
      </w:rPr>
    </w:lvl>
    <w:lvl w:ilvl="5" w:tplc="31808374">
      <w:start w:val="1"/>
      <w:numFmt w:val="bullet"/>
      <w:lvlText w:val=""/>
      <w:lvlJc w:val="left"/>
      <w:pPr>
        <w:ind w:left="4320" w:hanging="360"/>
      </w:pPr>
      <w:rPr>
        <w:rFonts w:ascii="Wingdings" w:hAnsi="Wingdings" w:hint="default"/>
      </w:rPr>
    </w:lvl>
    <w:lvl w:ilvl="6" w:tplc="58D8D374">
      <w:start w:val="1"/>
      <w:numFmt w:val="bullet"/>
      <w:lvlText w:val=""/>
      <w:lvlJc w:val="left"/>
      <w:pPr>
        <w:ind w:left="5040" w:hanging="360"/>
      </w:pPr>
      <w:rPr>
        <w:rFonts w:ascii="Symbol" w:hAnsi="Symbol" w:hint="default"/>
      </w:rPr>
    </w:lvl>
    <w:lvl w:ilvl="7" w:tplc="9CB2CC84">
      <w:start w:val="1"/>
      <w:numFmt w:val="bullet"/>
      <w:lvlText w:val="o"/>
      <w:lvlJc w:val="left"/>
      <w:pPr>
        <w:ind w:left="5760" w:hanging="360"/>
      </w:pPr>
      <w:rPr>
        <w:rFonts w:ascii="Courier New" w:hAnsi="Courier New" w:hint="default"/>
      </w:rPr>
    </w:lvl>
    <w:lvl w:ilvl="8" w:tplc="9FBED8CC">
      <w:start w:val="1"/>
      <w:numFmt w:val="bullet"/>
      <w:lvlText w:val=""/>
      <w:lvlJc w:val="left"/>
      <w:pPr>
        <w:ind w:left="6480" w:hanging="360"/>
      </w:pPr>
      <w:rPr>
        <w:rFonts w:ascii="Wingdings" w:hAnsi="Wingdings" w:hint="default"/>
      </w:rPr>
    </w:lvl>
  </w:abstractNum>
  <w:abstractNum w:abstractNumId="47" w15:restartNumberingAfterBreak="0">
    <w:nsid w:val="7FA47B0C"/>
    <w:multiLevelType w:val="multilevel"/>
    <w:tmpl w:val="A7D0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7052058">
    <w:abstractNumId w:val="34"/>
  </w:num>
  <w:num w:numId="2" w16cid:durableId="1338769505">
    <w:abstractNumId w:val="37"/>
  </w:num>
  <w:num w:numId="3" w16cid:durableId="1813253255">
    <w:abstractNumId w:val="46"/>
  </w:num>
  <w:num w:numId="4" w16cid:durableId="1924103690">
    <w:abstractNumId w:val="7"/>
  </w:num>
  <w:num w:numId="5" w16cid:durableId="421875981">
    <w:abstractNumId w:val="8"/>
  </w:num>
  <w:num w:numId="6" w16cid:durableId="1077556809">
    <w:abstractNumId w:val="26"/>
  </w:num>
  <w:num w:numId="7" w16cid:durableId="1965962254">
    <w:abstractNumId w:val="30"/>
  </w:num>
  <w:num w:numId="8" w16cid:durableId="717820428">
    <w:abstractNumId w:val="0"/>
  </w:num>
  <w:num w:numId="9" w16cid:durableId="1516845794">
    <w:abstractNumId w:val="13"/>
  </w:num>
  <w:num w:numId="10" w16cid:durableId="1142114718">
    <w:abstractNumId w:val="40"/>
  </w:num>
  <w:num w:numId="11" w16cid:durableId="1458254009">
    <w:abstractNumId w:val="29"/>
  </w:num>
  <w:num w:numId="12" w16cid:durableId="1773432875">
    <w:abstractNumId w:val="3"/>
  </w:num>
  <w:num w:numId="13" w16cid:durableId="1600944277">
    <w:abstractNumId w:val="36"/>
  </w:num>
  <w:num w:numId="14" w16cid:durableId="1791899230">
    <w:abstractNumId w:val="18"/>
  </w:num>
  <w:num w:numId="15" w16cid:durableId="1121345217">
    <w:abstractNumId w:val="35"/>
  </w:num>
  <w:num w:numId="16" w16cid:durableId="1726683697">
    <w:abstractNumId w:val="20"/>
  </w:num>
  <w:num w:numId="17" w16cid:durableId="1084955845">
    <w:abstractNumId w:val="4"/>
  </w:num>
  <w:num w:numId="18" w16cid:durableId="2084527969">
    <w:abstractNumId w:val="43"/>
  </w:num>
  <w:num w:numId="19" w16cid:durableId="208146973">
    <w:abstractNumId w:val="31"/>
  </w:num>
  <w:num w:numId="20" w16cid:durableId="946692553">
    <w:abstractNumId w:val="2"/>
  </w:num>
  <w:num w:numId="21" w16cid:durableId="1178275337">
    <w:abstractNumId w:val="47"/>
  </w:num>
  <w:num w:numId="22" w16cid:durableId="1944916163">
    <w:abstractNumId w:val="16"/>
  </w:num>
  <w:num w:numId="23" w16cid:durableId="1891064966">
    <w:abstractNumId w:val="19"/>
  </w:num>
  <w:num w:numId="24" w16cid:durableId="322196259">
    <w:abstractNumId w:val="15"/>
  </w:num>
  <w:num w:numId="25" w16cid:durableId="751925652">
    <w:abstractNumId w:val="24"/>
  </w:num>
  <w:num w:numId="26" w16cid:durableId="1675834549">
    <w:abstractNumId w:val="41"/>
  </w:num>
  <w:num w:numId="27" w16cid:durableId="1258908378">
    <w:abstractNumId w:val="28"/>
  </w:num>
  <w:num w:numId="28" w16cid:durableId="2038775394">
    <w:abstractNumId w:val="23"/>
  </w:num>
  <w:num w:numId="29" w16cid:durableId="1033922766">
    <w:abstractNumId w:val="42"/>
  </w:num>
  <w:num w:numId="30" w16cid:durableId="696197211">
    <w:abstractNumId w:val="38"/>
  </w:num>
  <w:num w:numId="31" w16cid:durableId="760299942">
    <w:abstractNumId w:val="44"/>
  </w:num>
  <w:num w:numId="32" w16cid:durableId="566722025">
    <w:abstractNumId w:val="27"/>
  </w:num>
  <w:num w:numId="33" w16cid:durableId="2041082312">
    <w:abstractNumId w:val="6"/>
  </w:num>
  <w:num w:numId="34" w16cid:durableId="1881934192">
    <w:abstractNumId w:val="39"/>
  </w:num>
  <w:num w:numId="35" w16cid:durableId="813643166">
    <w:abstractNumId w:val="22"/>
  </w:num>
  <w:num w:numId="36" w16cid:durableId="1808470639">
    <w:abstractNumId w:val="9"/>
  </w:num>
  <w:num w:numId="37" w16cid:durableId="786195215">
    <w:abstractNumId w:val="33"/>
  </w:num>
  <w:num w:numId="38" w16cid:durableId="338384661">
    <w:abstractNumId w:val="5"/>
  </w:num>
  <w:num w:numId="39" w16cid:durableId="1672177568">
    <w:abstractNumId w:val="45"/>
  </w:num>
  <w:num w:numId="40" w16cid:durableId="1470396259">
    <w:abstractNumId w:val="12"/>
  </w:num>
  <w:num w:numId="41" w16cid:durableId="288322341">
    <w:abstractNumId w:val="1"/>
  </w:num>
  <w:num w:numId="42" w16cid:durableId="1976637585">
    <w:abstractNumId w:val="17"/>
  </w:num>
  <w:num w:numId="43" w16cid:durableId="1952348546">
    <w:abstractNumId w:val="11"/>
  </w:num>
  <w:num w:numId="44" w16cid:durableId="1451823913">
    <w:abstractNumId w:val="21"/>
  </w:num>
  <w:num w:numId="45" w16cid:durableId="1972053445">
    <w:abstractNumId w:val="25"/>
  </w:num>
  <w:num w:numId="46" w16cid:durableId="1995454584">
    <w:abstractNumId w:val="14"/>
  </w:num>
  <w:num w:numId="47" w16cid:durableId="100421500">
    <w:abstractNumId w:val="10"/>
  </w:num>
  <w:num w:numId="48" w16cid:durableId="1609702099">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tallcup, Kristin">
    <w15:presenceInfo w15:providerId="AD" w15:userId="S::kristin.stallcup@takeda.com::8f91acc5-ec0b-45be-8811-79bda74680dd"/>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57B"/>
    <w:rsid w:val="00003B4C"/>
    <w:rsid w:val="00010D39"/>
    <w:rsid w:val="00017F25"/>
    <w:rsid w:val="000209A8"/>
    <w:rsid w:val="0002216B"/>
    <w:rsid w:val="000257A7"/>
    <w:rsid w:val="00053075"/>
    <w:rsid w:val="000820CB"/>
    <w:rsid w:val="00085B7D"/>
    <w:rsid w:val="00090577"/>
    <w:rsid w:val="00091FAE"/>
    <w:rsid w:val="000A1398"/>
    <w:rsid w:val="000C6A78"/>
    <w:rsid w:val="000D0988"/>
    <w:rsid w:val="000F1BD2"/>
    <w:rsid w:val="000F71C0"/>
    <w:rsid w:val="0011727C"/>
    <w:rsid w:val="00122F0F"/>
    <w:rsid w:val="001477AB"/>
    <w:rsid w:val="00150D3B"/>
    <w:rsid w:val="00156C1A"/>
    <w:rsid w:val="0016568D"/>
    <w:rsid w:val="00190925"/>
    <w:rsid w:val="001A714B"/>
    <w:rsid w:val="001B5B7B"/>
    <w:rsid w:val="0020032C"/>
    <w:rsid w:val="00223E46"/>
    <w:rsid w:val="00225BA1"/>
    <w:rsid w:val="002325D5"/>
    <w:rsid w:val="00240204"/>
    <w:rsid w:val="00246705"/>
    <w:rsid w:val="00251774"/>
    <w:rsid w:val="00252F48"/>
    <w:rsid w:val="0026471A"/>
    <w:rsid w:val="002650E0"/>
    <w:rsid w:val="00266909"/>
    <w:rsid w:val="00271F89"/>
    <w:rsid w:val="00274E77"/>
    <w:rsid w:val="002776DD"/>
    <w:rsid w:val="00287A18"/>
    <w:rsid w:val="002A5391"/>
    <w:rsid w:val="00303464"/>
    <w:rsid w:val="00306D9C"/>
    <w:rsid w:val="003238C7"/>
    <w:rsid w:val="00325C12"/>
    <w:rsid w:val="003301A5"/>
    <w:rsid w:val="00336C5C"/>
    <w:rsid w:val="003539E9"/>
    <w:rsid w:val="00386984"/>
    <w:rsid w:val="003944B7"/>
    <w:rsid w:val="003A6052"/>
    <w:rsid w:val="003D0D50"/>
    <w:rsid w:val="003F055E"/>
    <w:rsid w:val="003F2260"/>
    <w:rsid w:val="003F71F5"/>
    <w:rsid w:val="00403AA2"/>
    <w:rsid w:val="0043182B"/>
    <w:rsid w:val="0046347E"/>
    <w:rsid w:val="00467F52"/>
    <w:rsid w:val="00473EB8"/>
    <w:rsid w:val="00491BE7"/>
    <w:rsid w:val="00492181"/>
    <w:rsid w:val="004C3E6D"/>
    <w:rsid w:val="004D45BE"/>
    <w:rsid w:val="004D465E"/>
    <w:rsid w:val="004E2025"/>
    <w:rsid w:val="0050407C"/>
    <w:rsid w:val="005240B2"/>
    <w:rsid w:val="00530127"/>
    <w:rsid w:val="005372B2"/>
    <w:rsid w:val="00542737"/>
    <w:rsid w:val="005538B2"/>
    <w:rsid w:val="00560BBF"/>
    <w:rsid w:val="005667F1"/>
    <w:rsid w:val="00587CA9"/>
    <w:rsid w:val="00590C31"/>
    <w:rsid w:val="005A3414"/>
    <w:rsid w:val="005B2115"/>
    <w:rsid w:val="005D1C10"/>
    <w:rsid w:val="005E2F57"/>
    <w:rsid w:val="005F3484"/>
    <w:rsid w:val="00600644"/>
    <w:rsid w:val="00602285"/>
    <w:rsid w:val="00611DA2"/>
    <w:rsid w:val="00612AB2"/>
    <w:rsid w:val="006147EE"/>
    <w:rsid w:val="006218DB"/>
    <w:rsid w:val="006277A5"/>
    <w:rsid w:val="006311AA"/>
    <w:rsid w:val="006421E8"/>
    <w:rsid w:val="00667FC7"/>
    <w:rsid w:val="00675C04"/>
    <w:rsid w:val="00681863"/>
    <w:rsid w:val="00684DB3"/>
    <w:rsid w:val="006C4068"/>
    <w:rsid w:val="006C48C2"/>
    <w:rsid w:val="006E462B"/>
    <w:rsid w:val="006F16A3"/>
    <w:rsid w:val="006F205F"/>
    <w:rsid w:val="006F593E"/>
    <w:rsid w:val="00707057"/>
    <w:rsid w:val="00711903"/>
    <w:rsid w:val="00717F0F"/>
    <w:rsid w:val="00732022"/>
    <w:rsid w:val="00750DDF"/>
    <w:rsid w:val="00756E64"/>
    <w:rsid w:val="007631E2"/>
    <w:rsid w:val="007A17BD"/>
    <w:rsid w:val="007A7D3F"/>
    <w:rsid w:val="007C153B"/>
    <w:rsid w:val="007E0BA6"/>
    <w:rsid w:val="007E3B8A"/>
    <w:rsid w:val="007E4DCD"/>
    <w:rsid w:val="008019FC"/>
    <w:rsid w:val="00813B10"/>
    <w:rsid w:val="008271D7"/>
    <w:rsid w:val="00832506"/>
    <w:rsid w:val="00834E9B"/>
    <w:rsid w:val="00853D01"/>
    <w:rsid w:val="00865445"/>
    <w:rsid w:val="0088557B"/>
    <w:rsid w:val="008D6E69"/>
    <w:rsid w:val="008E16E4"/>
    <w:rsid w:val="008F7633"/>
    <w:rsid w:val="00915ADF"/>
    <w:rsid w:val="009162DA"/>
    <w:rsid w:val="009526D1"/>
    <w:rsid w:val="00964231"/>
    <w:rsid w:val="009C4AF6"/>
    <w:rsid w:val="009D49D7"/>
    <w:rsid w:val="009D77D3"/>
    <w:rsid w:val="009E6D0B"/>
    <w:rsid w:val="009F7703"/>
    <w:rsid w:val="00A0644F"/>
    <w:rsid w:val="00A068B7"/>
    <w:rsid w:val="00A16FE0"/>
    <w:rsid w:val="00A23917"/>
    <w:rsid w:val="00A4255D"/>
    <w:rsid w:val="00A51BCF"/>
    <w:rsid w:val="00AA3643"/>
    <w:rsid w:val="00AB18D5"/>
    <w:rsid w:val="00AC2E37"/>
    <w:rsid w:val="00AC3545"/>
    <w:rsid w:val="00AD577D"/>
    <w:rsid w:val="00AE28A9"/>
    <w:rsid w:val="00AE40AF"/>
    <w:rsid w:val="00AE5870"/>
    <w:rsid w:val="00AF0E70"/>
    <w:rsid w:val="00B00E49"/>
    <w:rsid w:val="00B16112"/>
    <w:rsid w:val="00B25864"/>
    <w:rsid w:val="00B37519"/>
    <w:rsid w:val="00B47A0E"/>
    <w:rsid w:val="00B50DCC"/>
    <w:rsid w:val="00B57787"/>
    <w:rsid w:val="00B65BEB"/>
    <w:rsid w:val="00B84F76"/>
    <w:rsid w:val="00B96054"/>
    <w:rsid w:val="00BB4C41"/>
    <w:rsid w:val="00BC6C40"/>
    <w:rsid w:val="00BC7E81"/>
    <w:rsid w:val="00BD30A1"/>
    <w:rsid w:val="00BE069F"/>
    <w:rsid w:val="00BE4DA8"/>
    <w:rsid w:val="00BF4166"/>
    <w:rsid w:val="00C00DD5"/>
    <w:rsid w:val="00C06F82"/>
    <w:rsid w:val="00C201C3"/>
    <w:rsid w:val="00C2307D"/>
    <w:rsid w:val="00C23162"/>
    <w:rsid w:val="00C2356F"/>
    <w:rsid w:val="00C83DB0"/>
    <w:rsid w:val="00C94EB0"/>
    <w:rsid w:val="00CC3085"/>
    <w:rsid w:val="00CC619D"/>
    <w:rsid w:val="00CD0E30"/>
    <w:rsid w:val="00CE5DDE"/>
    <w:rsid w:val="00CF1E8E"/>
    <w:rsid w:val="00CF5373"/>
    <w:rsid w:val="00D12428"/>
    <w:rsid w:val="00D26E2D"/>
    <w:rsid w:val="00D64FE7"/>
    <w:rsid w:val="00D705C8"/>
    <w:rsid w:val="00D90EAF"/>
    <w:rsid w:val="00DA0B32"/>
    <w:rsid w:val="00DA5326"/>
    <w:rsid w:val="00DB2BC4"/>
    <w:rsid w:val="00DB5D47"/>
    <w:rsid w:val="00DC3909"/>
    <w:rsid w:val="00DC3EC2"/>
    <w:rsid w:val="00DC4E5F"/>
    <w:rsid w:val="00DE7E96"/>
    <w:rsid w:val="00E03709"/>
    <w:rsid w:val="00E26BBD"/>
    <w:rsid w:val="00E31293"/>
    <w:rsid w:val="00E34EC4"/>
    <w:rsid w:val="00E369C3"/>
    <w:rsid w:val="00E374AF"/>
    <w:rsid w:val="00E53689"/>
    <w:rsid w:val="00E75785"/>
    <w:rsid w:val="00E834D4"/>
    <w:rsid w:val="00E8357B"/>
    <w:rsid w:val="00E87525"/>
    <w:rsid w:val="00E95A99"/>
    <w:rsid w:val="00E96B76"/>
    <w:rsid w:val="00ED3FA6"/>
    <w:rsid w:val="00EE03B9"/>
    <w:rsid w:val="00F0252F"/>
    <w:rsid w:val="00F06555"/>
    <w:rsid w:val="00F07DD3"/>
    <w:rsid w:val="00F2447A"/>
    <w:rsid w:val="00F244A2"/>
    <w:rsid w:val="00F2638E"/>
    <w:rsid w:val="00F35D23"/>
    <w:rsid w:val="00F4350D"/>
    <w:rsid w:val="00F73559"/>
    <w:rsid w:val="00F7443B"/>
    <w:rsid w:val="00F8619A"/>
    <w:rsid w:val="00F97D58"/>
    <w:rsid w:val="00FB22B1"/>
    <w:rsid w:val="00FC1BB3"/>
    <w:rsid w:val="00FE2110"/>
    <w:rsid w:val="00FE743D"/>
    <w:rsid w:val="00FF01F2"/>
    <w:rsid w:val="082042FD"/>
    <w:rsid w:val="08B4BB85"/>
    <w:rsid w:val="0A37BEB5"/>
    <w:rsid w:val="12D361C1"/>
    <w:rsid w:val="153488E7"/>
    <w:rsid w:val="1AD7FAA8"/>
    <w:rsid w:val="1BB365FE"/>
    <w:rsid w:val="2100583F"/>
    <w:rsid w:val="292223A0"/>
    <w:rsid w:val="29CDF5FE"/>
    <w:rsid w:val="32A9133F"/>
    <w:rsid w:val="3386EE95"/>
    <w:rsid w:val="33ED9ED1"/>
    <w:rsid w:val="34BBDA1B"/>
    <w:rsid w:val="34C2DA81"/>
    <w:rsid w:val="350248F5"/>
    <w:rsid w:val="387D6472"/>
    <w:rsid w:val="3AB91D6A"/>
    <w:rsid w:val="3E565579"/>
    <w:rsid w:val="40CF7001"/>
    <w:rsid w:val="42B41E4C"/>
    <w:rsid w:val="43C82C0E"/>
    <w:rsid w:val="474BF80A"/>
    <w:rsid w:val="485C7353"/>
    <w:rsid w:val="493EDCFD"/>
    <w:rsid w:val="4A4AD359"/>
    <w:rsid w:val="4DC964FF"/>
    <w:rsid w:val="55DD2B4D"/>
    <w:rsid w:val="5C3122EA"/>
    <w:rsid w:val="5C771467"/>
    <w:rsid w:val="5DC293EE"/>
    <w:rsid w:val="655AB8F0"/>
    <w:rsid w:val="72163842"/>
    <w:rsid w:val="7642E52B"/>
    <w:rsid w:val="794CC5F8"/>
    <w:rsid w:val="7AA75153"/>
    <w:rsid w:val="7DADF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7FC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8557B"/>
    <w:pPr>
      <w:widowControl w:val="0"/>
      <w:spacing w:after="200"/>
    </w:pPr>
  </w:style>
  <w:style w:type="paragraph" w:styleId="Heading1">
    <w:name w:val="heading 1"/>
    <w:basedOn w:val="Normal"/>
    <w:next w:val="Normal"/>
    <w:link w:val="Heading1Char"/>
    <w:uiPriority w:val="9"/>
    <w:qFormat/>
    <w:rsid w:val="00DA53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A539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A539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57B"/>
    <w:pPr>
      <w:tabs>
        <w:tab w:val="center" w:pos="4680"/>
        <w:tab w:val="right" w:pos="9360"/>
      </w:tabs>
      <w:spacing w:line="240" w:lineRule="auto"/>
    </w:pPr>
  </w:style>
  <w:style w:type="character" w:customStyle="1" w:styleId="HeaderChar">
    <w:name w:val="Header Char"/>
    <w:basedOn w:val="DefaultParagraphFont"/>
    <w:link w:val="Header"/>
    <w:uiPriority w:val="99"/>
    <w:rsid w:val="0088557B"/>
  </w:style>
  <w:style w:type="paragraph" w:styleId="Footer">
    <w:name w:val="footer"/>
    <w:basedOn w:val="Normal"/>
    <w:link w:val="FooterChar"/>
    <w:uiPriority w:val="99"/>
    <w:unhideWhenUsed/>
    <w:rsid w:val="0088557B"/>
    <w:pPr>
      <w:tabs>
        <w:tab w:val="center" w:pos="4680"/>
        <w:tab w:val="right" w:pos="9360"/>
      </w:tabs>
      <w:spacing w:line="240" w:lineRule="auto"/>
    </w:pPr>
  </w:style>
  <w:style w:type="character" w:customStyle="1" w:styleId="FooterChar">
    <w:name w:val="Footer Char"/>
    <w:basedOn w:val="DefaultParagraphFont"/>
    <w:link w:val="Footer"/>
    <w:uiPriority w:val="99"/>
    <w:rsid w:val="0088557B"/>
  </w:style>
  <w:style w:type="paragraph" w:styleId="BalloonText">
    <w:name w:val="Balloon Text"/>
    <w:basedOn w:val="Normal"/>
    <w:link w:val="BalloonTextChar"/>
    <w:uiPriority w:val="99"/>
    <w:semiHidden/>
    <w:unhideWhenUsed/>
    <w:rsid w:val="008855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57B"/>
    <w:rPr>
      <w:rFonts w:ascii="Tahoma" w:hAnsi="Tahoma" w:cs="Tahoma"/>
      <w:sz w:val="16"/>
      <w:szCs w:val="16"/>
    </w:rPr>
  </w:style>
  <w:style w:type="character" w:customStyle="1" w:styleId="Heading1Char">
    <w:name w:val="Heading 1 Char"/>
    <w:basedOn w:val="DefaultParagraphFont"/>
    <w:link w:val="Heading1"/>
    <w:uiPriority w:val="9"/>
    <w:rsid w:val="00DA532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A5326"/>
    <w:pPr>
      <w:widowControl/>
      <w:outlineLvl w:val="9"/>
    </w:pPr>
  </w:style>
  <w:style w:type="paragraph" w:styleId="TOC1">
    <w:name w:val="toc 1"/>
    <w:basedOn w:val="Normal"/>
    <w:next w:val="Normal"/>
    <w:autoRedefine/>
    <w:uiPriority w:val="39"/>
    <w:unhideWhenUsed/>
    <w:rsid w:val="00DA5326"/>
    <w:pPr>
      <w:spacing w:after="100"/>
    </w:pPr>
  </w:style>
  <w:style w:type="character" w:styleId="Hyperlink">
    <w:name w:val="Hyperlink"/>
    <w:basedOn w:val="DefaultParagraphFont"/>
    <w:uiPriority w:val="99"/>
    <w:unhideWhenUsed/>
    <w:rsid w:val="00DA5326"/>
    <w:rPr>
      <w:color w:val="0000FF" w:themeColor="hyperlink"/>
      <w:u w:val="single"/>
    </w:rPr>
  </w:style>
  <w:style w:type="paragraph" w:styleId="ListParagraph">
    <w:name w:val="List Paragraph"/>
    <w:basedOn w:val="Normal"/>
    <w:uiPriority w:val="34"/>
    <w:qFormat/>
    <w:rsid w:val="00DA0B32"/>
    <w:pPr>
      <w:ind w:left="720"/>
      <w:contextualSpacing/>
    </w:pPr>
  </w:style>
  <w:style w:type="paragraph" w:styleId="NormalWeb">
    <w:name w:val="Normal (Web)"/>
    <w:basedOn w:val="Normal"/>
    <w:uiPriority w:val="99"/>
    <w:semiHidden/>
    <w:unhideWhenUsed/>
    <w:rsid w:val="00156C1A"/>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2A5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A5391"/>
    <w:rPr>
      <w:rFonts w:asciiTheme="majorHAnsi" w:eastAsiaTheme="majorEastAsia" w:hAnsiTheme="majorHAnsi" w:cstheme="majorBidi"/>
      <w:color w:val="243F60" w:themeColor="accent1" w:themeShade="7F"/>
      <w:sz w:val="24"/>
      <w:szCs w:val="24"/>
    </w:rPr>
  </w:style>
  <w:style w:type="paragraph" w:styleId="CommentText">
    <w:name w:val="annotation text"/>
    <w:basedOn w:val="Normal"/>
    <w:link w:val="CommentTextChar"/>
    <w:uiPriority w:val="99"/>
    <w:unhideWhenUsed/>
    <w:rsid w:val="002A5391"/>
    <w:pPr>
      <w:widowControl/>
      <w:spacing w:after="160"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rsid w:val="002A5391"/>
    <w:rPr>
      <w:rFonts w:eastAsiaTheme="minorEastAsia"/>
      <w:sz w:val="20"/>
      <w:szCs w:val="20"/>
      <w:lang w:eastAsia="ja-JP"/>
    </w:rPr>
  </w:style>
  <w:style w:type="character" w:styleId="CommentReference">
    <w:name w:val="annotation reference"/>
    <w:basedOn w:val="DefaultParagraphFont"/>
    <w:uiPriority w:val="99"/>
    <w:semiHidden/>
    <w:unhideWhenUsed/>
    <w:rsid w:val="002A5391"/>
    <w:rPr>
      <w:sz w:val="16"/>
      <w:szCs w:val="16"/>
    </w:rPr>
  </w:style>
  <w:style w:type="paragraph" w:styleId="TOC2">
    <w:name w:val="toc 2"/>
    <w:basedOn w:val="Normal"/>
    <w:next w:val="Normal"/>
    <w:autoRedefine/>
    <w:uiPriority w:val="39"/>
    <w:unhideWhenUsed/>
    <w:rsid w:val="00756E64"/>
    <w:pPr>
      <w:spacing w:after="100"/>
      <w:ind w:left="220"/>
    </w:pPr>
  </w:style>
  <w:style w:type="paragraph" w:styleId="TOC3">
    <w:name w:val="toc 3"/>
    <w:basedOn w:val="Normal"/>
    <w:next w:val="Normal"/>
    <w:autoRedefine/>
    <w:uiPriority w:val="39"/>
    <w:unhideWhenUsed/>
    <w:rsid w:val="00756E64"/>
    <w:pPr>
      <w:spacing w:after="100"/>
      <w:ind w:left="440"/>
    </w:pPr>
  </w:style>
  <w:style w:type="paragraph" w:customStyle="1" w:styleId="paragraph">
    <w:name w:val="paragraph"/>
    <w:basedOn w:val="Normal"/>
    <w:rsid w:val="001A714B"/>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A714B"/>
  </w:style>
  <w:style w:type="character" w:customStyle="1" w:styleId="eop">
    <w:name w:val="eop"/>
    <w:basedOn w:val="DefaultParagraphFont"/>
    <w:rsid w:val="001A714B"/>
  </w:style>
  <w:style w:type="paragraph" w:styleId="CommentSubject">
    <w:name w:val="annotation subject"/>
    <w:basedOn w:val="CommentText"/>
    <w:next w:val="CommentText"/>
    <w:link w:val="CommentSubjectChar"/>
    <w:uiPriority w:val="99"/>
    <w:semiHidden/>
    <w:unhideWhenUsed/>
    <w:rsid w:val="00964231"/>
    <w:pPr>
      <w:widowControl w:val="0"/>
      <w:spacing w:after="200"/>
    </w:pPr>
    <w:rPr>
      <w:rFonts w:eastAsiaTheme="minorHAnsi"/>
      <w:b/>
      <w:bCs/>
      <w:lang w:eastAsia="en-US"/>
    </w:rPr>
  </w:style>
  <w:style w:type="character" w:customStyle="1" w:styleId="CommentSubjectChar">
    <w:name w:val="Comment Subject Char"/>
    <w:basedOn w:val="CommentTextChar"/>
    <w:link w:val="CommentSubject"/>
    <w:uiPriority w:val="99"/>
    <w:semiHidden/>
    <w:rsid w:val="00964231"/>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5225941">
      <w:bodyDiv w:val="1"/>
      <w:marLeft w:val="0"/>
      <w:marRight w:val="0"/>
      <w:marTop w:val="0"/>
      <w:marBottom w:val="0"/>
      <w:divBdr>
        <w:top w:val="none" w:sz="0" w:space="0" w:color="auto"/>
        <w:left w:val="none" w:sz="0" w:space="0" w:color="auto"/>
        <w:bottom w:val="none" w:sz="0" w:space="0" w:color="auto"/>
        <w:right w:val="none" w:sz="0" w:space="0" w:color="auto"/>
      </w:divBdr>
      <w:divsChild>
        <w:div w:id="1518739784">
          <w:marLeft w:val="0"/>
          <w:marRight w:val="0"/>
          <w:marTop w:val="0"/>
          <w:marBottom w:val="0"/>
          <w:divBdr>
            <w:top w:val="none" w:sz="0" w:space="0" w:color="auto"/>
            <w:left w:val="none" w:sz="0" w:space="0" w:color="auto"/>
            <w:bottom w:val="none" w:sz="0" w:space="0" w:color="auto"/>
            <w:right w:val="none" w:sz="0" w:space="0" w:color="auto"/>
          </w:divBdr>
          <w:divsChild>
            <w:div w:id="1902328048">
              <w:marLeft w:val="0"/>
              <w:marRight w:val="0"/>
              <w:marTop w:val="0"/>
              <w:marBottom w:val="0"/>
              <w:divBdr>
                <w:top w:val="none" w:sz="0" w:space="0" w:color="auto"/>
                <w:left w:val="none" w:sz="0" w:space="0" w:color="auto"/>
                <w:bottom w:val="none" w:sz="0" w:space="0" w:color="auto"/>
                <w:right w:val="none" w:sz="0" w:space="0" w:color="auto"/>
              </w:divBdr>
              <w:divsChild>
                <w:div w:id="1069226632">
                  <w:marLeft w:val="0"/>
                  <w:marRight w:val="0"/>
                  <w:marTop w:val="0"/>
                  <w:marBottom w:val="0"/>
                  <w:divBdr>
                    <w:top w:val="none" w:sz="0" w:space="0" w:color="auto"/>
                    <w:left w:val="none" w:sz="0" w:space="0" w:color="auto"/>
                    <w:bottom w:val="none" w:sz="0" w:space="0" w:color="auto"/>
                    <w:right w:val="none" w:sz="0" w:space="0" w:color="auto"/>
                  </w:divBdr>
                  <w:divsChild>
                    <w:div w:id="116486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4BEFBB9781B3F4C95DDC55766020D69" ma:contentTypeVersion="6" ma:contentTypeDescription="Create a new document." ma:contentTypeScope="" ma:versionID="b453d3498abcf3720ca31ea63834d85a">
  <xsd:schema xmlns:xsd="http://www.w3.org/2001/XMLSchema" xmlns:xs="http://www.w3.org/2001/XMLSchema" xmlns:p="http://schemas.microsoft.com/office/2006/metadata/properties" xmlns:ns2="f2cb3943-f450-4615-b027-4dc9dff051c1" xmlns:ns3="413287c2-c033-41e8-8e6b-8d7f205367b0" targetNamespace="http://schemas.microsoft.com/office/2006/metadata/properties" ma:root="true" ma:fieldsID="042aa065fcfd31439311ce2d3edc62f8" ns2:_="" ns3:_="">
    <xsd:import namespace="f2cb3943-f450-4615-b027-4dc9dff051c1"/>
    <xsd:import namespace="413287c2-c033-41e8-8e6b-8d7f205367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b3943-f450-4615-b027-4dc9dff05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3287c2-c033-41e8-8e6b-8d7f205367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956862-4DBA-4CBB-9E24-D40540D127EB}">
  <ds:schemaRefs>
    <ds:schemaRef ds:uri="http://schemas.microsoft.com/sharepoint/v3/contenttype/forms"/>
  </ds:schemaRefs>
</ds:datastoreItem>
</file>

<file path=customXml/itemProps2.xml><?xml version="1.0" encoding="utf-8"?>
<ds:datastoreItem xmlns:ds="http://schemas.openxmlformats.org/officeDocument/2006/customXml" ds:itemID="{503CC69E-0E4B-41D9-B1EF-2A16615684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C6DC5E-A08B-FF43-A4C6-19FF150FBD9E}">
  <ds:schemaRefs>
    <ds:schemaRef ds:uri="http://schemas.openxmlformats.org/officeDocument/2006/bibliography"/>
  </ds:schemaRefs>
</ds:datastoreItem>
</file>

<file path=customXml/itemProps4.xml><?xml version="1.0" encoding="utf-8"?>
<ds:datastoreItem xmlns:ds="http://schemas.openxmlformats.org/officeDocument/2006/customXml" ds:itemID="{09754F83-741C-44B9-928A-11F26834F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b3943-f450-4615-b027-4dc9dff051c1"/>
    <ds:schemaRef ds:uri="413287c2-c033-41e8-8e6b-8d7f20536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2940</Words>
  <Characters>18082</Characters>
  <Application>Microsoft Office Word</Application>
  <DocSecurity>0</DocSecurity>
  <Lines>311</Lines>
  <Paragraphs>172</Paragraphs>
  <ScaleCrop>false</ScaleCrop>
  <HeadingPairs>
    <vt:vector size="2" baseType="variant">
      <vt:variant>
        <vt:lpstr>Title</vt:lpstr>
      </vt:variant>
      <vt:variant>
        <vt:i4>1</vt:i4>
      </vt:variant>
    </vt:vector>
  </HeadingPairs>
  <TitlesOfParts>
    <vt:vector size="1" baseType="lpstr">
      <vt:lpstr/>
    </vt:vector>
  </TitlesOfParts>
  <Company>Celgene</Company>
  <LinksUpToDate>false</LinksUpToDate>
  <CharactersWithSpaces>20850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Alexandra Pearce</cp:lastModifiedBy>
  <cp:revision>2</cp:revision>
  <dcterms:created xsi:type="dcterms:W3CDTF">2026-07-30T14:59:00Z</dcterms:created>
  <dcterms:modified xsi:type="dcterms:W3CDTF">2026-07-30T14:59:00Z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0x01010094BEFBB9781B3F4C95DDC55766020D69</vt:lpwstr>
  </property>
  <property fmtid="{D5CDD505-2E9C-101B-9397-08002B2CF9AE}" pid="3" name="docLang">
    <vt:lpwstr>en</vt:lpwstr>
  </property>
</Properties>
</file>