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B0239" w14:textId="77777777" w:rsidR="00010D39" w:rsidRDefault="00010D39"/>
    <w:p w14:paraId="350129C9" w14:textId="77777777" w:rsidR="0088557B" w:rsidRDefault="0088557B"/>
    <w:p w14:paraId="08ACDF23" w14:textId="77777777" w:rsidR="0088557B" w:rsidRDefault="0088557B"/>
    <w:p w14:paraId="6AF8F065" w14:textId="77777777" w:rsidR="0088557B" w:rsidRDefault="0088557B"/>
    <w:p w14:paraId="7CED0065" w14:textId="77777777" w:rsidR="0088557B" w:rsidRDefault="0088557B" w:rsidP="0088557B">
      <w:pPr>
        <w:spacing w:before="120" w:after="0" w:line="110" w:lineRule="exact"/>
        <w:rPr>
          <w:sz w:val="11"/>
          <w:szCs w:val="11"/>
        </w:rPr>
      </w:pPr>
    </w:p>
    <w:p w14:paraId="6087D202" w14:textId="52A74A30" w:rsidR="00B47A0E" w:rsidRDefault="00B47A0E" w:rsidP="00B47A0E">
      <w:pPr>
        <w:tabs>
          <w:tab w:val="left" w:pos="1520"/>
        </w:tabs>
        <w:spacing w:before="120" w:after="0" w:line="264" w:lineRule="exact"/>
        <w:ind w:left="101" w:right="-14"/>
        <w:jc w:val="center"/>
        <w:rPr>
          <w:rFonts w:eastAsia="Times New Roman" w:cstheme="minorHAnsi"/>
          <w:i/>
          <w:position w:val="1"/>
          <w:sz w:val="40"/>
          <w:szCs w:val="40"/>
        </w:rPr>
      </w:pPr>
      <w:r w:rsidRPr="006670B3">
        <w:rPr>
          <w:rFonts w:eastAsia="Times New Roman" w:cstheme="minorHAnsi"/>
          <w:i/>
          <w:position w:val="1"/>
          <w:sz w:val="40"/>
          <w:szCs w:val="40"/>
        </w:rPr>
        <w:t>{</w:t>
      </w:r>
      <w:r w:rsidR="005C65DE">
        <w:rPr>
          <w:rFonts w:eastAsia="Times New Roman" w:cstheme="minorHAnsi"/>
          <w:i/>
          <w:position w:val="1"/>
          <w:sz w:val="40"/>
          <w:szCs w:val="40"/>
        </w:rPr>
        <w:t>2026</w:t>
      </w:r>
      <w:r>
        <w:rPr>
          <w:rFonts w:eastAsia="Times New Roman" w:cstheme="minorHAnsi"/>
          <w:i/>
          <w:position w:val="1"/>
          <w:sz w:val="40"/>
          <w:szCs w:val="40"/>
        </w:rPr>
        <w:t>-</w:t>
      </w:r>
      <w:r w:rsidR="005C65DE">
        <w:rPr>
          <w:rFonts w:eastAsia="Times New Roman" w:cstheme="minorHAnsi"/>
          <w:i/>
          <w:position w:val="1"/>
          <w:sz w:val="40"/>
          <w:szCs w:val="40"/>
        </w:rPr>
        <w:t>APRIL</w:t>
      </w:r>
      <w:r>
        <w:rPr>
          <w:rFonts w:eastAsia="Times New Roman" w:cstheme="minorHAnsi"/>
          <w:i/>
          <w:position w:val="1"/>
          <w:sz w:val="40"/>
          <w:szCs w:val="40"/>
        </w:rPr>
        <w:t>-</w:t>
      </w:r>
      <w:r w:rsidR="005C65DE">
        <w:rPr>
          <w:rFonts w:eastAsia="Times New Roman" w:cstheme="minorHAnsi"/>
          <w:i/>
          <w:position w:val="1"/>
          <w:sz w:val="40"/>
          <w:szCs w:val="40"/>
        </w:rPr>
        <w:t>22</w:t>
      </w:r>
      <w:r w:rsidRPr="006670B3">
        <w:rPr>
          <w:rFonts w:eastAsia="Times New Roman" w:cstheme="minorHAnsi"/>
          <w:i/>
          <w:position w:val="1"/>
          <w:sz w:val="40"/>
          <w:szCs w:val="40"/>
        </w:rPr>
        <w:t>}</w:t>
      </w:r>
    </w:p>
    <w:p w14:paraId="52E5FC25" w14:textId="77777777" w:rsidR="00B47A0E" w:rsidRDefault="00B47A0E" w:rsidP="00B47A0E">
      <w:pPr>
        <w:tabs>
          <w:tab w:val="left" w:pos="1520"/>
        </w:tabs>
        <w:spacing w:before="120" w:after="0" w:line="264" w:lineRule="exact"/>
        <w:ind w:left="101" w:right="-14"/>
        <w:jc w:val="center"/>
        <w:rPr>
          <w:rFonts w:eastAsia="Times New Roman" w:cstheme="minorHAnsi"/>
          <w:i/>
          <w:position w:val="1"/>
          <w:sz w:val="40"/>
          <w:szCs w:val="40"/>
        </w:rPr>
      </w:pPr>
    </w:p>
    <w:p w14:paraId="3B0C438A" w14:textId="08883F5F" w:rsidR="00B47A0E" w:rsidRDefault="00D545B0" w:rsidP="00643A9E">
      <w:pPr>
        <w:tabs>
          <w:tab w:val="left" w:pos="1520"/>
        </w:tabs>
        <w:spacing w:before="120" w:after="0" w:line="240" w:lineRule="auto"/>
        <w:ind w:left="102" w:right="-11"/>
        <w:jc w:val="center"/>
        <w:rPr>
          <w:rFonts w:eastAsia="Times New Roman" w:cstheme="minorHAnsi"/>
          <w:i/>
          <w:position w:val="1"/>
          <w:sz w:val="40"/>
          <w:szCs w:val="40"/>
        </w:rPr>
      </w:pPr>
      <w:r>
        <w:rPr>
          <w:rFonts w:eastAsia="Times New Roman" w:cstheme="minorHAnsi"/>
          <w:i/>
          <w:position w:val="1"/>
          <w:sz w:val="40"/>
          <w:szCs w:val="40"/>
        </w:rPr>
        <w:t xml:space="preserve">Conformance with the </w:t>
      </w:r>
      <w:r w:rsidRPr="00D545B0">
        <w:rPr>
          <w:rFonts w:eastAsia="Times New Roman" w:cstheme="minorHAnsi"/>
          <w:i/>
          <w:position w:val="1"/>
          <w:sz w:val="40"/>
          <w:szCs w:val="40"/>
        </w:rPr>
        <w:t>Technical Specifications Document</w:t>
      </w:r>
      <w:r>
        <w:rPr>
          <w:rFonts w:eastAsia="Times New Roman" w:cstheme="minorHAnsi"/>
          <w:i/>
          <w:position w:val="1"/>
          <w:sz w:val="40"/>
          <w:szCs w:val="40"/>
        </w:rPr>
        <w:t xml:space="preserve"> for </w:t>
      </w:r>
      <w:r w:rsidR="00643A9E" w:rsidRPr="00643A9E">
        <w:rPr>
          <w:rFonts w:eastAsia="Times New Roman" w:cstheme="minorHAnsi"/>
          <w:i/>
          <w:position w:val="1"/>
          <w:sz w:val="40"/>
          <w:szCs w:val="40"/>
        </w:rPr>
        <w:t>Submitting Nonclinical Datasets for Evaluation of Rodent Carcinogenicity Studies of Pharmaceuticals</w:t>
      </w:r>
    </w:p>
    <w:p w14:paraId="2D861F99" w14:textId="77777777" w:rsidR="0088557B" w:rsidRDefault="0088557B" w:rsidP="0088557B">
      <w:pPr>
        <w:tabs>
          <w:tab w:val="left" w:pos="1520"/>
        </w:tabs>
        <w:spacing w:before="120" w:after="0" w:line="264" w:lineRule="exact"/>
        <w:ind w:left="101" w:right="-14"/>
        <w:rPr>
          <w:rFonts w:eastAsia="Times New Roman" w:cstheme="minorHAnsi"/>
          <w:i/>
          <w:position w:val="1"/>
          <w:sz w:val="40"/>
          <w:szCs w:val="40"/>
        </w:rPr>
      </w:pPr>
    </w:p>
    <w:p w14:paraId="2BC4CABF" w14:textId="77777777" w:rsidR="008019FC" w:rsidRDefault="008019FC" w:rsidP="008019FC">
      <w:pPr>
        <w:spacing w:after="0" w:line="240" w:lineRule="auto"/>
        <w:ind w:left="120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>R</w:t>
      </w:r>
      <w:r>
        <w:rPr>
          <w:rFonts w:ascii="Cambria" w:eastAsia="Cambria" w:hAnsi="Cambria" w:cs="Cambria"/>
          <w:b/>
          <w:bCs/>
          <w:spacing w:val="1"/>
        </w:rPr>
        <w:t>e</w:t>
      </w:r>
      <w:r>
        <w:rPr>
          <w:rFonts w:ascii="Cambria" w:eastAsia="Cambria" w:hAnsi="Cambria" w:cs="Cambria"/>
          <w:b/>
          <w:bCs/>
        </w:rPr>
        <w:t>vi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-3"/>
        </w:rPr>
        <w:t>o</w:t>
      </w:r>
      <w:r>
        <w:rPr>
          <w:rFonts w:ascii="Cambria" w:eastAsia="Cambria" w:hAnsi="Cambria" w:cs="Cambria"/>
          <w:b/>
          <w:bCs/>
        </w:rPr>
        <w:t>n</w:t>
      </w:r>
      <w:r>
        <w:rPr>
          <w:rFonts w:ascii="Cambria" w:eastAsia="Cambria" w:hAnsi="Cambria" w:cs="Cambria"/>
          <w:b/>
          <w:bCs/>
          <w:spacing w:val="1"/>
        </w:rPr>
        <w:t xml:space="preserve"> </w:t>
      </w:r>
      <w:r>
        <w:rPr>
          <w:rFonts w:ascii="Cambria" w:eastAsia="Cambria" w:hAnsi="Cambria" w:cs="Cambria"/>
          <w:b/>
          <w:bCs/>
          <w:spacing w:val="-1"/>
        </w:rPr>
        <w:t>H</w:t>
      </w:r>
      <w:r>
        <w:rPr>
          <w:rFonts w:ascii="Cambria" w:eastAsia="Cambria" w:hAnsi="Cambria" w:cs="Cambria"/>
          <w:b/>
          <w:bCs/>
        </w:rPr>
        <w:t>i</w:t>
      </w:r>
      <w:r>
        <w:rPr>
          <w:rFonts w:ascii="Cambria" w:eastAsia="Cambria" w:hAnsi="Cambria" w:cs="Cambria"/>
          <w:b/>
          <w:bCs/>
          <w:spacing w:val="-1"/>
        </w:rPr>
        <w:t>s</w:t>
      </w:r>
      <w:r>
        <w:rPr>
          <w:rFonts w:ascii="Cambria" w:eastAsia="Cambria" w:hAnsi="Cambria" w:cs="Cambria"/>
          <w:b/>
          <w:bCs/>
          <w:spacing w:val="1"/>
        </w:rPr>
        <w:t>t</w:t>
      </w:r>
      <w:r>
        <w:rPr>
          <w:rFonts w:ascii="Cambria" w:eastAsia="Cambria" w:hAnsi="Cambria" w:cs="Cambria"/>
          <w:b/>
          <w:bCs/>
          <w:spacing w:val="-1"/>
        </w:rPr>
        <w:t>or</w:t>
      </w:r>
      <w:r>
        <w:rPr>
          <w:rFonts w:ascii="Cambria" w:eastAsia="Cambria" w:hAnsi="Cambria" w:cs="Cambria"/>
          <w:b/>
          <w:bCs/>
        </w:rPr>
        <w:t>y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1350"/>
        <w:gridCol w:w="6145"/>
      </w:tblGrid>
      <w:tr w:rsidR="008019FC" w14:paraId="20A29E3E" w14:textId="77777777" w:rsidTr="008019FC">
        <w:trPr>
          <w:trHeight w:hRule="exact" w:val="266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14:paraId="37A2BB9B" w14:textId="77777777" w:rsidR="008019FC" w:rsidRDefault="008019FC" w:rsidP="00F460DF">
            <w:pPr>
              <w:spacing w:after="0" w:line="255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Version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14:paraId="79040851" w14:textId="77777777" w:rsidR="008019FC" w:rsidRDefault="008019FC" w:rsidP="00F460DF">
            <w:pPr>
              <w:spacing w:after="0" w:line="255" w:lineRule="exact"/>
              <w:ind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</w:rPr>
              <w:t xml:space="preserve"> Date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14:paraId="2ABFF18E" w14:textId="77777777" w:rsidR="008019FC" w:rsidRDefault="008019FC" w:rsidP="00F460DF">
            <w:pPr>
              <w:spacing w:after="0" w:line="255" w:lineRule="exact"/>
              <w:ind w:left="100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Summ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ar</w:t>
            </w:r>
            <w:r>
              <w:rPr>
                <w:rFonts w:ascii="Cambria" w:eastAsia="Cambria" w:hAnsi="Cambria" w:cs="Cambria"/>
                <w:b/>
                <w:bCs/>
              </w:rPr>
              <w:t>y</w:t>
            </w:r>
          </w:p>
        </w:tc>
      </w:tr>
      <w:tr w:rsidR="008019FC" w14:paraId="5DBCD8FB" w14:textId="77777777" w:rsidTr="008019FC">
        <w:trPr>
          <w:trHeight w:hRule="exact" w:val="624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7935" w14:textId="1D859847" w:rsidR="008019FC" w:rsidRDefault="0023297E" w:rsidP="00F460DF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1.0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A113" w14:textId="76807279" w:rsidR="008019FC" w:rsidRDefault="005C65DE" w:rsidP="00F460DF">
            <w:pPr>
              <w:spacing w:after="0" w:line="257" w:lineRule="exact"/>
              <w:ind w:left="102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22/04/26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1FEF" w14:textId="31949D0F" w:rsidR="008019FC" w:rsidRDefault="0023297E" w:rsidP="008019FC">
            <w:pPr>
              <w:spacing w:after="0" w:line="257" w:lineRule="exact"/>
              <w:ind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First Version</w:t>
            </w:r>
          </w:p>
        </w:tc>
      </w:tr>
    </w:tbl>
    <w:p w14:paraId="0D7708DA" w14:textId="77777777" w:rsidR="0088557B" w:rsidRPr="008019FC" w:rsidRDefault="0088557B" w:rsidP="0088557B">
      <w:pPr>
        <w:tabs>
          <w:tab w:val="left" w:pos="1520"/>
        </w:tabs>
        <w:spacing w:before="120" w:after="0" w:line="264" w:lineRule="exact"/>
        <w:ind w:left="101" w:right="-14"/>
        <w:rPr>
          <w:rFonts w:eastAsia="Times New Roman" w:cstheme="minorHAnsi"/>
          <w:position w:val="1"/>
          <w:sz w:val="40"/>
          <w:szCs w:val="40"/>
        </w:rPr>
      </w:pPr>
    </w:p>
    <w:p w14:paraId="2A9B45A0" w14:textId="77777777" w:rsidR="0088557B" w:rsidRPr="006670B3" w:rsidRDefault="0088557B" w:rsidP="0088557B">
      <w:pPr>
        <w:tabs>
          <w:tab w:val="left" w:pos="1520"/>
        </w:tabs>
        <w:spacing w:before="120" w:after="0" w:line="264" w:lineRule="exact"/>
        <w:ind w:left="101" w:right="-14"/>
        <w:rPr>
          <w:rFonts w:eastAsia="Times New Roman" w:cstheme="minorHAnsi"/>
          <w:i/>
          <w:position w:val="1"/>
          <w:sz w:val="40"/>
          <w:szCs w:val="40"/>
        </w:rPr>
      </w:pPr>
      <w:r>
        <w:rPr>
          <w:rFonts w:eastAsia="Times New Roman" w:cstheme="minorHAnsi"/>
          <w:i/>
          <w:position w:val="1"/>
          <w:sz w:val="40"/>
          <w:szCs w:val="40"/>
        </w:rPr>
        <w:tab/>
      </w:r>
      <w:r>
        <w:rPr>
          <w:rFonts w:eastAsia="Times New Roman" w:cstheme="minorHAnsi"/>
          <w:i/>
          <w:position w:val="1"/>
          <w:sz w:val="40"/>
          <w:szCs w:val="40"/>
        </w:rPr>
        <w:tab/>
      </w:r>
      <w:r>
        <w:rPr>
          <w:rFonts w:eastAsia="Times New Roman" w:cstheme="minorHAnsi"/>
          <w:i/>
          <w:position w:val="1"/>
          <w:sz w:val="40"/>
          <w:szCs w:val="40"/>
        </w:rPr>
        <w:tab/>
      </w:r>
      <w:r>
        <w:rPr>
          <w:rFonts w:eastAsia="Times New Roman" w:cstheme="minorHAnsi"/>
          <w:i/>
          <w:position w:val="1"/>
          <w:sz w:val="40"/>
          <w:szCs w:val="40"/>
        </w:rPr>
        <w:tab/>
      </w:r>
      <w:r>
        <w:rPr>
          <w:rFonts w:eastAsia="Times New Roman" w:cstheme="minorHAnsi"/>
          <w:i/>
          <w:position w:val="1"/>
          <w:sz w:val="40"/>
          <w:szCs w:val="40"/>
        </w:rPr>
        <w:tab/>
      </w:r>
      <w:r>
        <w:rPr>
          <w:rFonts w:eastAsia="Times New Roman" w:cstheme="minorHAnsi"/>
          <w:i/>
          <w:position w:val="1"/>
          <w:sz w:val="40"/>
          <w:szCs w:val="40"/>
        </w:rPr>
        <w:tab/>
      </w:r>
      <w:r>
        <w:rPr>
          <w:rFonts w:eastAsia="Times New Roman" w:cstheme="minorHAnsi"/>
          <w:i/>
          <w:position w:val="1"/>
          <w:sz w:val="40"/>
          <w:szCs w:val="40"/>
        </w:rPr>
        <w:tab/>
      </w:r>
      <w:r>
        <w:rPr>
          <w:rFonts w:eastAsia="Times New Roman" w:cstheme="minorHAnsi"/>
          <w:i/>
          <w:position w:val="1"/>
          <w:sz w:val="40"/>
          <w:szCs w:val="40"/>
        </w:rPr>
        <w:tab/>
      </w:r>
      <w:r>
        <w:rPr>
          <w:rFonts w:eastAsia="Times New Roman" w:cstheme="minorHAnsi"/>
          <w:i/>
          <w:position w:val="1"/>
          <w:sz w:val="40"/>
          <w:szCs w:val="40"/>
        </w:rPr>
        <w:tab/>
      </w:r>
      <w:r>
        <w:rPr>
          <w:rFonts w:eastAsia="Times New Roman" w:cstheme="minorHAnsi"/>
          <w:i/>
          <w:position w:val="1"/>
          <w:sz w:val="40"/>
          <w:szCs w:val="40"/>
        </w:rPr>
        <w:tab/>
      </w:r>
    </w:p>
    <w:p w14:paraId="7B663B73" w14:textId="77777777" w:rsidR="00DA5326" w:rsidRDefault="00DA5326" w:rsidP="0088557B">
      <w:pPr>
        <w:ind w:left="2160" w:firstLine="720"/>
      </w:pPr>
    </w:p>
    <w:p w14:paraId="1C039A20" w14:textId="77777777" w:rsidR="00DA5326" w:rsidRDefault="00DA5326" w:rsidP="0088557B">
      <w:pPr>
        <w:ind w:left="2160" w:firstLine="720"/>
      </w:pPr>
    </w:p>
    <w:p w14:paraId="513C6E1A" w14:textId="77777777" w:rsidR="00DA5326" w:rsidRDefault="00DA5326" w:rsidP="0088557B">
      <w:pPr>
        <w:ind w:left="2160" w:firstLine="720"/>
      </w:pPr>
    </w:p>
    <w:p w14:paraId="1658C94B" w14:textId="77777777" w:rsidR="00DA5326" w:rsidRDefault="00DA5326" w:rsidP="0088557B">
      <w:pPr>
        <w:ind w:left="2160" w:firstLine="720"/>
      </w:pPr>
    </w:p>
    <w:p w14:paraId="672F00A9" w14:textId="77777777" w:rsidR="00DA5326" w:rsidRDefault="00DA5326" w:rsidP="0088557B">
      <w:pPr>
        <w:ind w:left="2160" w:firstLine="720"/>
      </w:pPr>
    </w:p>
    <w:p w14:paraId="11393900" w14:textId="77777777" w:rsidR="00DA5326" w:rsidRDefault="00DA5326" w:rsidP="0088557B">
      <w:pPr>
        <w:ind w:left="2160" w:firstLine="720"/>
      </w:pPr>
    </w:p>
    <w:p w14:paraId="309F7726" w14:textId="77777777" w:rsidR="00B96054" w:rsidRDefault="00B96054" w:rsidP="0088557B">
      <w:pPr>
        <w:ind w:left="2160" w:firstLine="720"/>
      </w:pPr>
    </w:p>
    <w:p w14:paraId="70AABA21" w14:textId="77777777" w:rsidR="00B96054" w:rsidRDefault="00B96054" w:rsidP="0088557B">
      <w:pPr>
        <w:ind w:left="2160" w:firstLine="720"/>
      </w:pPr>
    </w:p>
    <w:p w14:paraId="60B36F36" w14:textId="77777777" w:rsidR="00B96054" w:rsidRDefault="00B96054" w:rsidP="0088557B">
      <w:pPr>
        <w:ind w:left="2160" w:firstLine="720"/>
      </w:pPr>
    </w:p>
    <w:p w14:paraId="5B4C742A" w14:textId="77777777" w:rsidR="00DA5326" w:rsidRDefault="00DA5326" w:rsidP="0088557B">
      <w:pPr>
        <w:ind w:left="2160" w:firstLine="720"/>
      </w:pPr>
    </w:p>
    <w:p w14:paraId="1F114DD2" w14:textId="77777777" w:rsidR="00DA5326" w:rsidRDefault="00DA5326" w:rsidP="0088557B">
      <w:pPr>
        <w:ind w:left="2160" w:firstLine="720"/>
      </w:pPr>
      <w:r>
        <w:tab/>
      </w:r>
      <w:r>
        <w:tab/>
      </w:r>
      <w:r>
        <w:tab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341902"/>
        <w:docPartObj>
          <w:docPartGallery w:val="Table of Contents"/>
          <w:docPartUnique/>
        </w:docPartObj>
      </w:sdtPr>
      <w:sdtContent>
        <w:p w14:paraId="1C094E95" w14:textId="00A96E3F" w:rsidR="00F3574D" w:rsidRDefault="00681863" w:rsidP="005C65DE">
          <w:pPr>
            <w:pStyle w:val="TOCHeading"/>
          </w:pPr>
          <w:r>
            <w:t xml:space="preserve">Table of </w:t>
          </w:r>
          <w:r w:rsidR="00DA5326">
            <w:t>Contents</w:t>
          </w:r>
          <w:r>
            <w:t xml:space="preserve"> </w:t>
          </w:r>
          <w:r w:rsidR="00303464">
            <w:fldChar w:fldCharType="begin"/>
          </w:r>
          <w:r w:rsidR="00303464">
            <w:instrText xml:space="preserve"> TOC \o "1-3" \f \h \z \u </w:instrText>
          </w:r>
          <w:r w:rsidR="00303464">
            <w:fldChar w:fldCharType="separate"/>
          </w:r>
        </w:p>
        <w:p w14:paraId="2C1860C1" w14:textId="76CC21C0" w:rsidR="00F3574D" w:rsidRDefault="00F3574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222409611" w:history="1">
            <w:r w:rsidRPr="00A8230A">
              <w:rPr>
                <w:rStyle w:val="Hyperlink"/>
                <w:noProof/>
              </w:rPr>
              <w:t>1: Overview: Purpose of this document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_Toc222409611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533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449B0D" w14:textId="46363CB3" w:rsidR="00F3574D" w:rsidRDefault="00F3574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222409612" w:history="1">
            <w:r w:rsidRPr="00A8230A">
              <w:rPr>
                <w:rStyle w:val="Hyperlink"/>
                <w:noProof/>
              </w:rPr>
              <w:t>2: Background and Problem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_Toc222409612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533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FD1621" w14:textId="4CC9B9C2" w:rsidR="00F3574D" w:rsidRDefault="00F3574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222409613" w:history="1">
            <w:r w:rsidRPr="00A8230A">
              <w:rPr>
                <w:rStyle w:val="Hyperlink"/>
                <w:noProof/>
              </w:rPr>
              <w:t>3: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_Toc222409613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533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6CE66" w14:textId="70CBD82C" w:rsidR="00F3574D" w:rsidRDefault="00F3574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222409614" w:history="1">
            <w:r w:rsidRPr="00A8230A">
              <w:rPr>
                <w:rStyle w:val="Hyperlink"/>
                <w:noProof/>
              </w:rPr>
              <w:t>4: 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_Toc222409614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533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8F3CC" w14:textId="1080509A" w:rsidR="00F3574D" w:rsidRDefault="00F3574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222409615" w:history="1">
            <w:r w:rsidRPr="00A8230A">
              <w:rPr>
                <w:rStyle w:val="Hyperlink"/>
                <w:noProof/>
              </w:rPr>
              <w:t>6: Project Approach and Deliverable: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_Toc222409615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533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DC3A9" w14:textId="2694BA7C" w:rsidR="00F3574D" w:rsidRDefault="00F3574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222409616" w:history="1">
            <w:r w:rsidRPr="00A8230A">
              <w:rPr>
                <w:rStyle w:val="Hyperlink"/>
                <w:noProof/>
              </w:rPr>
              <w:t>7: Recommendations: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_Toc222409616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533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7E91C" w14:textId="7CE942F0" w:rsidR="00F3574D" w:rsidRDefault="00F3574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222409617" w:history="1">
            <w:r w:rsidRPr="00A8230A">
              <w:rPr>
                <w:rStyle w:val="Hyperlink"/>
                <w:noProof/>
              </w:rPr>
              <w:t>8: Disclaimer: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_Toc222409617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533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6B249" w14:textId="4543941C" w:rsidR="00F3574D" w:rsidRDefault="00F3574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222409618" w:history="1">
            <w:r w:rsidRPr="00A8230A">
              <w:rPr>
                <w:rStyle w:val="Hyperlink"/>
                <w:noProof/>
              </w:rPr>
              <w:t>9: References: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_Toc222409618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533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926F90" w14:textId="2AD56F34" w:rsidR="00F3574D" w:rsidRDefault="00F3574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222409619" w:history="1">
            <w:r w:rsidRPr="00A8230A">
              <w:rPr>
                <w:rStyle w:val="Hyperlink"/>
                <w:noProof/>
              </w:rPr>
              <w:t>10: Project Contact Information: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_Toc222409619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533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CEC75F" w14:textId="03E71C62" w:rsidR="00F3574D" w:rsidRDefault="00F3574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/>
              <w14:ligatures w14:val="standardContextual"/>
            </w:rPr>
          </w:pPr>
          <w:hyperlink w:anchor="_Toc222409620" w:history="1">
            <w:r w:rsidRPr="00A8230A">
              <w:rPr>
                <w:rStyle w:val="Hyperlink"/>
                <w:noProof/>
              </w:rPr>
              <w:t>11: Acknowledgments: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_Toc222409620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0533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081F8" w14:textId="5613664F" w:rsidR="00DA5326" w:rsidRDefault="00303464">
          <w:r>
            <w:fldChar w:fldCharType="end"/>
          </w:r>
        </w:p>
      </w:sdtContent>
    </w:sdt>
    <w:p w14:paraId="0C56F624" w14:textId="77777777" w:rsidR="00DA5326" w:rsidRDefault="00DA5326" w:rsidP="0088557B">
      <w:pPr>
        <w:ind w:left="2160" w:firstLine="720"/>
      </w:pPr>
    </w:p>
    <w:p w14:paraId="7F2D7DE5" w14:textId="77777777" w:rsidR="00DA5326" w:rsidRDefault="00DA5326" w:rsidP="0088557B">
      <w:pPr>
        <w:ind w:left="2160" w:firstLine="720"/>
      </w:pPr>
    </w:p>
    <w:p w14:paraId="0F43AA96" w14:textId="77777777" w:rsidR="00DA5326" w:rsidRDefault="00DA5326" w:rsidP="0088557B">
      <w:pPr>
        <w:ind w:left="2160" w:firstLine="720"/>
      </w:pPr>
    </w:p>
    <w:p w14:paraId="31F401A7" w14:textId="77777777" w:rsidR="00DA5326" w:rsidRDefault="00DA5326" w:rsidP="0088557B">
      <w:pPr>
        <w:ind w:left="2160" w:firstLine="720"/>
      </w:pPr>
    </w:p>
    <w:p w14:paraId="78F0303E" w14:textId="45A8781D" w:rsidR="00F04323" w:rsidRDefault="00F04323">
      <w:pPr>
        <w:widowControl/>
        <w:spacing w:after="0"/>
      </w:pPr>
      <w:r>
        <w:br w:type="page"/>
      </w:r>
    </w:p>
    <w:p w14:paraId="509FD4E7" w14:textId="51EA1A7D" w:rsidR="00DA5326" w:rsidRDefault="00303464" w:rsidP="00DA5326">
      <w:pPr>
        <w:pStyle w:val="Heading1"/>
      </w:pPr>
      <w:bookmarkStart w:id="0" w:name="_Toc222409611"/>
      <w:r>
        <w:lastRenderedPageBreak/>
        <w:t xml:space="preserve">1: </w:t>
      </w:r>
      <w:r w:rsidR="00DA5326">
        <w:t>Overview: Purpose of this document</w:t>
      </w:r>
      <w:bookmarkEnd w:id="0"/>
    </w:p>
    <w:p w14:paraId="2FEDCD04" w14:textId="3EA39388" w:rsidR="00583E04" w:rsidRPr="00583E04" w:rsidRDefault="00583E04" w:rsidP="00583E04">
      <w:r w:rsidRPr="00583E04">
        <w:t>Since 1999, FDA has required tumor data from carcinogenicity studies in a specified format ('</w:t>
      </w:r>
      <w:proofErr w:type="spellStart"/>
      <w:r w:rsidRPr="00583E04">
        <w:t>tumor.xpt</w:t>
      </w:r>
      <w:proofErr w:type="spellEnd"/>
      <w:r w:rsidRPr="00583E04">
        <w:t>’), to support regulatory submissions</w:t>
      </w:r>
      <w:r w:rsidR="00923199">
        <w:t xml:space="preserve">. </w:t>
      </w:r>
    </w:p>
    <w:p w14:paraId="35EC6EA7" w14:textId="318D6158" w:rsidR="00583E04" w:rsidRPr="00583E04" w:rsidRDefault="00583E04" w:rsidP="001D0CFD">
      <w:r w:rsidRPr="00583E04">
        <w:t xml:space="preserve">Currently companies must manually verify adherence to FDA </w:t>
      </w:r>
      <w:proofErr w:type="spellStart"/>
      <w:r w:rsidRPr="00583E04">
        <w:t>tumor.xpt</w:t>
      </w:r>
      <w:proofErr w:type="spellEnd"/>
      <w:r w:rsidRPr="00583E04">
        <w:t xml:space="preserve"> specifications without automated validation support, leading to</w:t>
      </w:r>
      <w:r w:rsidR="001D0CFD">
        <w:t xml:space="preserve"> i</w:t>
      </w:r>
      <w:r w:rsidRPr="00583E04">
        <w:t>nconsistent data submissions across sponsors</w:t>
      </w:r>
      <w:r w:rsidR="001D0CFD">
        <w:t>, i</w:t>
      </w:r>
      <w:r w:rsidRPr="00583E04">
        <w:t>nefficient regulatory review processes</w:t>
      </w:r>
      <w:r w:rsidR="001D0CFD">
        <w:t xml:space="preserve"> and i</w:t>
      </w:r>
      <w:r w:rsidRPr="00583E04">
        <w:t>ncreased time and resources spent on format verification rather than scientific analysis</w:t>
      </w:r>
      <w:r w:rsidR="001D0CFD">
        <w:t>.</w:t>
      </w:r>
    </w:p>
    <w:p w14:paraId="4A5DC2A7" w14:textId="047420A0" w:rsidR="00583E04" w:rsidRDefault="00374745" w:rsidP="00583E04">
      <w:r w:rsidRPr="00583E04">
        <w:t xml:space="preserve">While SEND datasets benefit from standardized CDISC conformance rules and automated validation tools, </w:t>
      </w:r>
      <w:proofErr w:type="spellStart"/>
      <w:r w:rsidRPr="00583E04">
        <w:t>tumor.xpt</w:t>
      </w:r>
      <w:proofErr w:type="spellEnd"/>
      <w:r w:rsidRPr="00583E04">
        <w:t xml:space="preserve"> specifications lack these standardized conformance rules</w:t>
      </w:r>
      <w:r>
        <w:t xml:space="preserve">. </w:t>
      </w:r>
      <w:r w:rsidR="00583E04" w:rsidRPr="00583E04">
        <w:t xml:space="preserve">CDISC confirmed that the CDISC SEND team will NOT provide conformance rules for </w:t>
      </w:r>
      <w:proofErr w:type="spellStart"/>
      <w:r w:rsidR="00583E04" w:rsidRPr="00583E04">
        <w:t>tumor.xpt</w:t>
      </w:r>
      <w:proofErr w:type="spellEnd"/>
      <w:r w:rsidR="00583E04" w:rsidRPr="00583E04">
        <w:t xml:space="preserve"> format since it is not a CDISC standard</w:t>
      </w:r>
      <w:r>
        <w:t>.</w:t>
      </w:r>
    </w:p>
    <w:p w14:paraId="53979E35" w14:textId="1FC13EFF" w:rsidR="001B5BB0" w:rsidRDefault="001B5BB0" w:rsidP="00583E04">
      <w:r>
        <w:t xml:space="preserve">This white paper will accompany the release of </w:t>
      </w:r>
      <w:r w:rsidR="000C62B0">
        <w:t xml:space="preserve">a set </w:t>
      </w:r>
      <w:r w:rsidR="000C62B0" w:rsidRPr="00464C97">
        <w:t xml:space="preserve">of technical conformance rules with the </w:t>
      </w:r>
      <w:proofErr w:type="spellStart"/>
      <w:r w:rsidR="000C62B0" w:rsidRPr="00464C97">
        <w:t>tumor.xpt</w:t>
      </w:r>
      <w:proofErr w:type="spellEnd"/>
      <w:r w:rsidR="000C62B0" w:rsidRPr="00464C97">
        <w:t xml:space="preserve"> specification</w:t>
      </w:r>
      <w:r w:rsidR="000C62B0">
        <w:t xml:space="preserve"> drafted by the </w:t>
      </w:r>
      <w:proofErr w:type="spellStart"/>
      <w:r w:rsidR="000C62B0">
        <w:t>PhUSE</w:t>
      </w:r>
      <w:proofErr w:type="spellEnd"/>
      <w:r w:rsidR="000C62B0">
        <w:t xml:space="preserve"> Nonclinical Working</w:t>
      </w:r>
      <w:r w:rsidR="00F56C64">
        <w:t xml:space="preserve"> Group</w:t>
      </w:r>
      <w:r w:rsidR="003C3A47">
        <w:t>.</w:t>
      </w:r>
    </w:p>
    <w:p w14:paraId="5F4AB29F" w14:textId="52C37545" w:rsidR="000201A7" w:rsidRDefault="000201A7" w:rsidP="000201A7">
      <w:pPr>
        <w:pStyle w:val="Heading1"/>
      </w:pPr>
      <w:bookmarkStart w:id="1" w:name="_Toc222409612"/>
      <w:r>
        <w:t>2: Background and Problem Statement</w:t>
      </w:r>
      <w:bookmarkEnd w:id="1"/>
    </w:p>
    <w:p w14:paraId="16FFD2A2" w14:textId="6C62D0D1" w:rsidR="00EC785B" w:rsidRDefault="000201A7" w:rsidP="000201A7">
      <w:r w:rsidRPr="00113F8F">
        <w:t>Since 1999, FDA has requested that industry provide tumor data from nonclinical studies in a specified format (‘</w:t>
      </w:r>
      <w:proofErr w:type="spellStart"/>
      <w:r w:rsidRPr="00113F8F">
        <w:t>tumor.xpt</w:t>
      </w:r>
      <w:proofErr w:type="spellEnd"/>
      <w:r w:rsidRPr="00113F8F">
        <w:t>’)</w:t>
      </w:r>
      <w:r w:rsidR="008B11B1">
        <w:t xml:space="preserve"> [</w:t>
      </w:r>
      <w:r w:rsidR="008B11B1" w:rsidRPr="008B11B1">
        <w:rPr>
          <w:color w:val="0100FF"/>
          <w:u w:val="single"/>
        </w:rPr>
        <w:fldChar w:fldCharType="begin"/>
      </w:r>
      <w:r w:rsidR="008B11B1" w:rsidRPr="008B11B1">
        <w:rPr>
          <w:color w:val="0100FF"/>
          <w:u w:val="single"/>
        </w:rPr>
        <w:instrText xml:space="preserve"> REF _Ref221200325 \r \h </w:instrText>
      </w:r>
      <w:r w:rsidR="008B11B1" w:rsidRPr="008B11B1">
        <w:rPr>
          <w:color w:val="0100FF"/>
          <w:u w:val="single"/>
        </w:rPr>
      </w:r>
      <w:r w:rsidR="008B11B1" w:rsidRPr="008B11B1">
        <w:rPr>
          <w:color w:val="0100FF"/>
          <w:u w:val="single"/>
        </w:rPr>
        <w:fldChar w:fldCharType="separate"/>
      </w:r>
      <w:r w:rsidR="0070533A">
        <w:rPr>
          <w:color w:val="0100FF"/>
          <w:u w:val="single"/>
        </w:rPr>
        <w:t>5</w:t>
      </w:r>
      <w:r w:rsidR="008B11B1" w:rsidRPr="008B11B1">
        <w:rPr>
          <w:color w:val="0100FF"/>
          <w:u w:val="single"/>
        </w:rPr>
        <w:fldChar w:fldCharType="end"/>
      </w:r>
      <w:r w:rsidR="008B11B1">
        <w:t>]</w:t>
      </w:r>
      <w:r w:rsidRPr="00113F8F">
        <w:t xml:space="preserve">. </w:t>
      </w:r>
      <w:r w:rsidR="003E666A">
        <w:t>This was superseded by the FDA CDER</w:t>
      </w:r>
      <w:r w:rsidR="00AE506E">
        <w:t xml:space="preserve"> Technical Specification Document</w:t>
      </w:r>
      <w:r w:rsidR="003E666A">
        <w:t>: Submitting Nonclinical Datasets for Evaluation of Rodent Carcinogenicity Studies of Pharmaceuticals</w:t>
      </w:r>
      <w:r w:rsidR="00CD6862">
        <w:t xml:space="preserve"> in May 2021 [</w:t>
      </w:r>
      <w:r w:rsidR="00CD6862" w:rsidRPr="00CD6862">
        <w:rPr>
          <w:color w:val="0100FF"/>
          <w:u w:val="single"/>
        </w:rPr>
        <w:fldChar w:fldCharType="begin"/>
      </w:r>
      <w:r w:rsidR="00CD6862" w:rsidRPr="00CD6862">
        <w:rPr>
          <w:color w:val="0100FF"/>
          <w:u w:val="single"/>
        </w:rPr>
        <w:instrText xml:space="preserve"> REF _Ref218782569 \r \h </w:instrText>
      </w:r>
      <w:r w:rsidR="00CD6862" w:rsidRPr="00CD6862">
        <w:rPr>
          <w:color w:val="0100FF"/>
          <w:u w:val="single"/>
        </w:rPr>
      </w:r>
      <w:r w:rsidR="00CD6862" w:rsidRPr="00CD6862">
        <w:rPr>
          <w:color w:val="0100FF"/>
          <w:u w:val="single"/>
        </w:rPr>
        <w:fldChar w:fldCharType="separate"/>
      </w:r>
      <w:r w:rsidR="0070533A">
        <w:rPr>
          <w:color w:val="0100FF"/>
          <w:u w:val="single"/>
        </w:rPr>
        <w:t>1</w:t>
      </w:r>
      <w:r w:rsidR="00CD6862" w:rsidRPr="00CD6862">
        <w:rPr>
          <w:color w:val="0100FF"/>
          <w:u w:val="single"/>
        </w:rPr>
        <w:fldChar w:fldCharType="end"/>
      </w:r>
      <w:r w:rsidR="00CD6862">
        <w:t>].</w:t>
      </w:r>
      <w:r w:rsidR="003E666A">
        <w:t xml:space="preserve"> </w:t>
      </w:r>
    </w:p>
    <w:p w14:paraId="4E1695E0" w14:textId="45F97EF5" w:rsidR="00FA531D" w:rsidRDefault="000201A7" w:rsidP="000201A7">
      <w:r>
        <w:t xml:space="preserve">The </w:t>
      </w:r>
      <w:proofErr w:type="spellStart"/>
      <w:r>
        <w:t>tumor.xpt</w:t>
      </w:r>
      <w:proofErr w:type="spellEnd"/>
      <w:r>
        <w:t xml:space="preserve"> format allows FDA reviewers to perform independent statistical analysis on tumor data for carcinogenicity studies.</w:t>
      </w:r>
      <w:r w:rsidR="00EC785B">
        <w:t xml:space="preserve"> </w:t>
      </w:r>
      <w:r w:rsidR="002737B5">
        <w:t xml:space="preserve">Since the </w:t>
      </w:r>
      <w:r w:rsidR="006B0F27">
        <w:t xml:space="preserve">requirement to submit SEND data for carcinogenicity studies, a </w:t>
      </w:r>
      <w:proofErr w:type="spellStart"/>
      <w:r w:rsidR="006B0F27">
        <w:t>tumor.xpt</w:t>
      </w:r>
      <w:proofErr w:type="spellEnd"/>
      <w:r w:rsidR="006B0F27">
        <w:t xml:space="preserve"> dataset</w:t>
      </w:r>
      <w:r w:rsidRPr="00113F8F">
        <w:t xml:space="preserve"> is now submitted jointly with SEND datasets</w:t>
      </w:r>
      <w:r w:rsidR="00E51B41">
        <w:t xml:space="preserve"> [</w:t>
      </w:r>
      <w:r w:rsidR="00E51B41" w:rsidRPr="006B0F27">
        <w:rPr>
          <w:color w:val="0100FF"/>
          <w:u w:val="single"/>
        </w:rPr>
        <w:fldChar w:fldCharType="begin"/>
      </w:r>
      <w:r w:rsidR="00E51B41" w:rsidRPr="006B0F27">
        <w:rPr>
          <w:color w:val="0100FF"/>
          <w:u w:val="single"/>
        </w:rPr>
        <w:instrText xml:space="preserve"> REF _Ref218783532 \r \h </w:instrText>
      </w:r>
      <w:r w:rsidR="00E51B41" w:rsidRPr="006B0F27">
        <w:rPr>
          <w:color w:val="0100FF"/>
          <w:u w:val="single"/>
        </w:rPr>
      </w:r>
      <w:r w:rsidR="00E51B41" w:rsidRPr="006B0F27">
        <w:rPr>
          <w:color w:val="0100FF"/>
          <w:u w:val="single"/>
        </w:rPr>
        <w:fldChar w:fldCharType="separate"/>
      </w:r>
      <w:r w:rsidR="0070533A">
        <w:rPr>
          <w:color w:val="0100FF"/>
          <w:u w:val="single"/>
        </w:rPr>
        <w:t>2</w:t>
      </w:r>
      <w:r w:rsidR="00E51B41" w:rsidRPr="006B0F27">
        <w:rPr>
          <w:color w:val="0100FF"/>
          <w:u w:val="single"/>
        </w:rPr>
        <w:fldChar w:fldCharType="end"/>
      </w:r>
      <w:r w:rsidR="00E51B41">
        <w:t>]</w:t>
      </w:r>
      <w:r w:rsidRPr="00113F8F">
        <w:t xml:space="preserve">. Where the SEND standard comes with a set of conformance rules from CDISC, the </w:t>
      </w:r>
      <w:proofErr w:type="spellStart"/>
      <w:r w:rsidRPr="00113F8F">
        <w:t>tumor.xpt</w:t>
      </w:r>
      <w:proofErr w:type="spellEnd"/>
      <w:r w:rsidRPr="00113F8F">
        <w:t xml:space="preserve"> specification does not have these</w:t>
      </w:r>
      <w:r w:rsidR="00940DE5">
        <w:t>, C</w:t>
      </w:r>
      <w:r w:rsidRPr="00113F8F">
        <w:t>onsequently</w:t>
      </w:r>
      <w:r w:rsidR="00940DE5">
        <w:t>,</w:t>
      </w:r>
      <w:r w:rsidRPr="00113F8F">
        <w:t xml:space="preserve"> unlike the adjoining SEND datasets, </w:t>
      </w:r>
      <w:r w:rsidR="009D2EE4">
        <w:t>t</w:t>
      </w:r>
      <w:r w:rsidR="00940DE5">
        <w:t>here is</w:t>
      </w:r>
      <w:r w:rsidR="009D2EE4">
        <w:t xml:space="preserve"> no consensus on how the </w:t>
      </w:r>
      <w:proofErr w:type="spellStart"/>
      <w:r w:rsidR="009D2EE4">
        <w:t>tumor.xpt</w:t>
      </w:r>
      <w:proofErr w:type="spellEnd"/>
      <w:r w:rsidR="009D2EE4">
        <w:t xml:space="preserve"> </w:t>
      </w:r>
      <w:r w:rsidR="00E80231">
        <w:t xml:space="preserve">should be validated </w:t>
      </w:r>
      <w:r w:rsidR="00372139">
        <w:t>against</w:t>
      </w:r>
      <w:r w:rsidR="00CB09BD">
        <w:t xml:space="preserve"> the </w:t>
      </w:r>
      <w:r w:rsidR="003C59E2">
        <w:t>t</w:t>
      </w:r>
      <w:r w:rsidR="00CB09BD">
        <w:t xml:space="preserve">echnical </w:t>
      </w:r>
      <w:r w:rsidR="003C59E2">
        <w:t>s</w:t>
      </w:r>
      <w:r w:rsidR="00CB09BD">
        <w:t>pecification</w:t>
      </w:r>
      <w:r w:rsidR="005640F7">
        <w:t xml:space="preserve"> [</w:t>
      </w:r>
      <w:r w:rsidR="005640F7" w:rsidRPr="00CD6862">
        <w:rPr>
          <w:color w:val="0100FF"/>
          <w:u w:val="single"/>
        </w:rPr>
        <w:fldChar w:fldCharType="begin"/>
      </w:r>
      <w:r w:rsidR="005640F7" w:rsidRPr="00CD6862">
        <w:rPr>
          <w:color w:val="0100FF"/>
          <w:u w:val="single"/>
        </w:rPr>
        <w:instrText xml:space="preserve"> REF _Ref218782569 \r \h </w:instrText>
      </w:r>
      <w:r w:rsidR="005640F7" w:rsidRPr="00CD6862">
        <w:rPr>
          <w:color w:val="0100FF"/>
          <w:u w:val="single"/>
        </w:rPr>
      </w:r>
      <w:r w:rsidR="005640F7" w:rsidRPr="00CD6862">
        <w:rPr>
          <w:color w:val="0100FF"/>
          <w:u w:val="single"/>
        </w:rPr>
        <w:fldChar w:fldCharType="separate"/>
      </w:r>
      <w:r w:rsidR="0070533A">
        <w:rPr>
          <w:color w:val="0100FF"/>
          <w:u w:val="single"/>
        </w:rPr>
        <w:t>1</w:t>
      </w:r>
      <w:r w:rsidR="005640F7" w:rsidRPr="00CD6862">
        <w:rPr>
          <w:color w:val="0100FF"/>
          <w:u w:val="single"/>
        </w:rPr>
        <w:fldChar w:fldCharType="end"/>
      </w:r>
      <w:r w:rsidR="005640F7">
        <w:t>]</w:t>
      </w:r>
      <w:r w:rsidR="00E80231">
        <w:t xml:space="preserve"> for compliance</w:t>
      </w:r>
      <w:r w:rsidRPr="00113F8F">
        <w:t xml:space="preserve">. </w:t>
      </w:r>
    </w:p>
    <w:p w14:paraId="335065C6" w14:textId="451BA1B7" w:rsidR="000201A7" w:rsidRDefault="000201A7" w:rsidP="000201A7">
      <w:r w:rsidRPr="00113F8F">
        <w:t xml:space="preserve">Since the </w:t>
      </w:r>
      <w:proofErr w:type="spellStart"/>
      <w:r w:rsidRPr="00113F8F">
        <w:t>tumor.xpt</w:t>
      </w:r>
      <w:proofErr w:type="spellEnd"/>
      <w:r w:rsidRPr="00113F8F">
        <w:t xml:space="preserve"> format is not a CDISC standard, the CDISC SEND team will </w:t>
      </w:r>
      <w:r w:rsidR="009D6FF8">
        <w:t>not</w:t>
      </w:r>
      <w:r w:rsidRPr="00113F8F">
        <w:t xml:space="preserve"> provide such conformance rules with the </w:t>
      </w:r>
      <w:proofErr w:type="spellStart"/>
      <w:r w:rsidRPr="00113F8F">
        <w:t>tumor.xpt</w:t>
      </w:r>
      <w:proofErr w:type="spellEnd"/>
      <w:r w:rsidRPr="00113F8F">
        <w:t xml:space="preserve"> format. </w:t>
      </w:r>
      <w:r w:rsidR="00EE2F38">
        <w:t xml:space="preserve">The absence of </w:t>
      </w:r>
      <w:r w:rsidR="00245500">
        <w:t xml:space="preserve">published </w:t>
      </w:r>
      <w:proofErr w:type="spellStart"/>
      <w:r w:rsidR="00245500">
        <w:t>tumor.xpt</w:t>
      </w:r>
      <w:proofErr w:type="spellEnd"/>
      <w:r w:rsidR="00245500">
        <w:t xml:space="preserve"> conformance rules, </w:t>
      </w:r>
      <w:r w:rsidR="0079207E">
        <w:t>inhibits</w:t>
      </w:r>
      <w:r w:rsidR="00245500">
        <w:t xml:space="preserve"> </w:t>
      </w:r>
      <w:r w:rsidR="003D60CE">
        <w:t xml:space="preserve">development of industrywide tools </w:t>
      </w:r>
      <w:r w:rsidR="00252369">
        <w:t xml:space="preserve">for dataset validation. </w:t>
      </w:r>
      <w:r w:rsidRPr="00113F8F">
        <w:t xml:space="preserve">Consequently, there is currently a manual burden on industry to verify the adherence of the </w:t>
      </w:r>
      <w:proofErr w:type="spellStart"/>
      <w:r w:rsidRPr="00113F8F">
        <w:t>tumor.xpt</w:t>
      </w:r>
      <w:proofErr w:type="spellEnd"/>
      <w:r w:rsidRPr="00113F8F">
        <w:t xml:space="preserve"> files to the FDA specification.</w:t>
      </w:r>
      <w:r w:rsidR="00176E2F">
        <w:t xml:space="preserve"> This </w:t>
      </w:r>
      <w:r w:rsidR="00527C03">
        <w:t xml:space="preserve">can </w:t>
      </w:r>
      <w:r w:rsidR="0079207E">
        <w:t xml:space="preserve">result </w:t>
      </w:r>
      <w:r w:rsidR="00176E2F">
        <w:t xml:space="preserve">in </w:t>
      </w:r>
      <w:r w:rsidR="00D6361D">
        <w:t>variability in consistency</w:t>
      </w:r>
      <w:r w:rsidR="00D02681">
        <w:t>, accuracy and adherence to technical specifications across sponsors sub</w:t>
      </w:r>
      <w:r w:rsidR="0011435C">
        <w:t>mitting the datasets.</w:t>
      </w:r>
    </w:p>
    <w:p w14:paraId="7FDCF59A" w14:textId="2F76BDBF" w:rsidR="00DA5326" w:rsidRDefault="000201A7" w:rsidP="00DA5326">
      <w:pPr>
        <w:pStyle w:val="Heading1"/>
      </w:pPr>
      <w:bookmarkStart w:id="2" w:name="_Toc222409613"/>
      <w:r>
        <w:lastRenderedPageBreak/>
        <w:t>3</w:t>
      </w:r>
      <w:r w:rsidR="00303464">
        <w:t xml:space="preserve">: </w:t>
      </w:r>
      <w:r w:rsidR="00DA5326">
        <w:t>Scope</w:t>
      </w:r>
      <w:bookmarkEnd w:id="2"/>
    </w:p>
    <w:p w14:paraId="3B5DEAFF" w14:textId="7A4C3D8E" w:rsidR="00523EBA" w:rsidRDefault="00523EBA" w:rsidP="006E2A6A">
      <w:r w:rsidRPr="00464C97">
        <w:t xml:space="preserve">The scope of the project will be to create a non-exhaustive first set of technical conformance rules with the </w:t>
      </w:r>
      <w:proofErr w:type="spellStart"/>
      <w:r w:rsidRPr="00464C97">
        <w:t>tumor.xpt</w:t>
      </w:r>
      <w:proofErr w:type="spellEnd"/>
      <w:r w:rsidRPr="00464C97">
        <w:t xml:space="preserve"> specification.</w:t>
      </w:r>
      <w:r w:rsidR="00464C97">
        <w:t xml:space="preserve"> </w:t>
      </w:r>
    </w:p>
    <w:p w14:paraId="52C9A3FA" w14:textId="2F6DC61F" w:rsidR="00D73C56" w:rsidRDefault="00D73C56" w:rsidP="006E2A6A">
      <w:r>
        <w:t xml:space="preserve">The project is a </w:t>
      </w:r>
      <w:r w:rsidR="00903E2C" w:rsidRPr="00903E2C">
        <w:t>step toward</w:t>
      </w:r>
      <w:r w:rsidR="004F4041">
        <w:t>s</w:t>
      </w:r>
      <w:r w:rsidR="00903E2C" w:rsidRPr="00903E2C">
        <w:t xml:space="preserve"> harmonizing tumor data and improving the efficiency of the drug development and regulatory review process.</w:t>
      </w:r>
    </w:p>
    <w:p w14:paraId="36090DF3" w14:textId="13649B14" w:rsidR="001D1A6A" w:rsidRDefault="00C7245D" w:rsidP="006E2A6A">
      <w:r>
        <w:t xml:space="preserve">The outcome of the project </w:t>
      </w:r>
      <w:r w:rsidR="00C764D5">
        <w:t>supports a</w:t>
      </w:r>
      <w:r w:rsidR="00C764D5" w:rsidRPr="00C764D5">
        <w:t>utomated validation compatible with existing SEND verification tools</w:t>
      </w:r>
      <w:r w:rsidR="00C764D5">
        <w:t xml:space="preserve"> leading to reduced manual verification burden and i</w:t>
      </w:r>
      <w:r w:rsidR="00C764D5" w:rsidRPr="00ED2B19">
        <w:t>mproved data quality through standardized accuracy checks</w:t>
      </w:r>
      <w:r w:rsidR="00C764D5">
        <w:t>.</w:t>
      </w:r>
    </w:p>
    <w:p w14:paraId="5491470B" w14:textId="534A9C3B" w:rsidR="001D1A6A" w:rsidRPr="00464C97" w:rsidRDefault="00210B4F" w:rsidP="006E2A6A">
      <w:r w:rsidRPr="00210B4F">
        <w:t>Consistent data quality across all submissions</w:t>
      </w:r>
      <w:r>
        <w:t xml:space="preserve"> </w:t>
      </w:r>
      <w:r w:rsidR="001B672E">
        <w:t xml:space="preserve">will lead to </w:t>
      </w:r>
      <w:r w:rsidR="001E424D">
        <w:t>e</w:t>
      </w:r>
      <w:r w:rsidR="001E424D" w:rsidRPr="001E424D">
        <w:t>nhanced regulatory efficiency through early issue identification</w:t>
      </w:r>
      <w:r w:rsidR="001E424D">
        <w:t xml:space="preserve">, </w:t>
      </w:r>
      <w:r w:rsidR="00817B1D">
        <w:t>better use of reviewer time by i</w:t>
      </w:r>
      <w:r w:rsidR="002A0DF3" w:rsidRPr="002A0DF3">
        <w:t>ncreased focus on scientific evaluation vs. format correction</w:t>
      </w:r>
      <w:r w:rsidR="002A0DF3">
        <w:t xml:space="preserve"> and less need for</w:t>
      </w:r>
      <w:r w:rsidR="0015334A" w:rsidRPr="0015334A">
        <w:t xml:space="preserve"> sponsor communication regarding formatting</w:t>
      </w:r>
      <w:r w:rsidR="006A5A13">
        <w:t>.</w:t>
      </w:r>
    </w:p>
    <w:p w14:paraId="22AE42B0" w14:textId="795A0E84" w:rsidR="00DA5326" w:rsidRDefault="000201A7" w:rsidP="00DA5326">
      <w:pPr>
        <w:pStyle w:val="Heading1"/>
      </w:pPr>
      <w:bookmarkStart w:id="3" w:name="_Toc222409614"/>
      <w:r>
        <w:t>4</w:t>
      </w:r>
      <w:r w:rsidR="00303464">
        <w:t xml:space="preserve">: </w:t>
      </w:r>
      <w:r w:rsidR="00DA5326">
        <w:t>Definitions</w:t>
      </w:r>
      <w:bookmarkEnd w:id="3"/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980"/>
        <w:gridCol w:w="3117"/>
        <w:gridCol w:w="4396"/>
      </w:tblGrid>
      <w:tr w:rsidR="00E249B4" w14:paraId="15D25997" w14:textId="77777777" w:rsidTr="00A66E29">
        <w:trPr>
          <w:cantSplit/>
          <w:tblHeader/>
        </w:trPr>
        <w:tc>
          <w:tcPr>
            <w:tcW w:w="1980" w:type="dxa"/>
            <w:shd w:val="clear" w:color="auto" w:fill="B8CCE4" w:themeFill="accent1" w:themeFillTint="66"/>
          </w:tcPr>
          <w:p w14:paraId="46646895" w14:textId="6699A4AC" w:rsidR="00E249B4" w:rsidRDefault="00E249B4" w:rsidP="00E249B4">
            <w:r>
              <w:t>Abbreviation</w:t>
            </w:r>
          </w:p>
        </w:tc>
        <w:tc>
          <w:tcPr>
            <w:tcW w:w="3117" w:type="dxa"/>
            <w:shd w:val="clear" w:color="auto" w:fill="B8CCE4" w:themeFill="accent1" w:themeFillTint="66"/>
          </w:tcPr>
          <w:p w14:paraId="150CE796" w14:textId="4759ADFC" w:rsidR="00E249B4" w:rsidRDefault="00E249B4" w:rsidP="00E249B4">
            <w:r>
              <w:t>Translation</w:t>
            </w:r>
          </w:p>
        </w:tc>
        <w:tc>
          <w:tcPr>
            <w:tcW w:w="4396" w:type="dxa"/>
            <w:shd w:val="clear" w:color="auto" w:fill="B8CCE4" w:themeFill="accent1" w:themeFillTint="66"/>
          </w:tcPr>
          <w:p w14:paraId="2B1D1599" w14:textId="6E4C0C34" w:rsidR="00E249B4" w:rsidRDefault="00E249B4" w:rsidP="00E249B4">
            <w:r>
              <w:t>Description</w:t>
            </w:r>
          </w:p>
        </w:tc>
      </w:tr>
      <w:tr w:rsidR="00E249B4" w14:paraId="5C386FCF" w14:textId="77777777" w:rsidTr="00A66E29">
        <w:trPr>
          <w:cantSplit/>
        </w:trPr>
        <w:tc>
          <w:tcPr>
            <w:tcW w:w="1980" w:type="dxa"/>
          </w:tcPr>
          <w:p w14:paraId="41C3A283" w14:textId="49986CFA" w:rsidR="00E249B4" w:rsidRDefault="00E249B4" w:rsidP="00E249B4">
            <w:r>
              <w:t>CDISC</w:t>
            </w:r>
          </w:p>
        </w:tc>
        <w:tc>
          <w:tcPr>
            <w:tcW w:w="3117" w:type="dxa"/>
          </w:tcPr>
          <w:p w14:paraId="093E5F53" w14:textId="73AE057C" w:rsidR="00E249B4" w:rsidRDefault="001416D0" w:rsidP="00E249B4">
            <w:r w:rsidRPr="001416D0">
              <w:t>Clinical Data Interchange Standards Consortium</w:t>
            </w:r>
          </w:p>
        </w:tc>
        <w:tc>
          <w:tcPr>
            <w:tcW w:w="4396" w:type="dxa"/>
          </w:tcPr>
          <w:p w14:paraId="38DB9D90" w14:textId="42E82505" w:rsidR="00E249B4" w:rsidRDefault="00B468F4" w:rsidP="00B468F4">
            <w:r>
              <w:t xml:space="preserve">CDISC is a 501(c)(3) global nonprofit charitable organization with administrative offices in Austin, Texas, with hundreds of employees, volunteers, and member organizations around the world. CDISC </w:t>
            </w:r>
            <w:r w:rsidR="00680AC0">
              <w:t>is a standards development organization responsible for</w:t>
            </w:r>
            <w:r w:rsidR="003A1967">
              <w:t xml:space="preserve"> several data standards including SEND:</w:t>
            </w:r>
            <w:r w:rsidR="00F8204E">
              <w:t xml:space="preserve"> </w:t>
            </w:r>
          </w:p>
        </w:tc>
      </w:tr>
      <w:tr w:rsidR="00E249B4" w14:paraId="392EB43F" w14:textId="77777777" w:rsidTr="00A66E29">
        <w:trPr>
          <w:cantSplit/>
        </w:trPr>
        <w:tc>
          <w:tcPr>
            <w:tcW w:w="1980" w:type="dxa"/>
          </w:tcPr>
          <w:p w14:paraId="7C263183" w14:textId="788535D2" w:rsidR="00E249B4" w:rsidRDefault="003A1967" w:rsidP="00E249B4">
            <w:r>
              <w:t>SEND</w:t>
            </w:r>
          </w:p>
        </w:tc>
        <w:tc>
          <w:tcPr>
            <w:tcW w:w="3117" w:type="dxa"/>
          </w:tcPr>
          <w:p w14:paraId="60465C35" w14:textId="2E5EE7F6" w:rsidR="00E249B4" w:rsidRDefault="003A1967" w:rsidP="00E249B4">
            <w:r>
              <w:t>Standard for Exchange of Nonclinical Data</w:t>
            </w:r>
          </w:p>
        </w:tc>
        <w:tc>
          <w:tcPr>
            <w:tcW w:w="4396" w:type="dxa"/>
          </w:tcPr>
          <w:p w14:paraId="064C5392" w14:textId="7DD03EA0" w:rsidR="00E249B4" w:rsidRDefault="005336AF" w:rsidP="00E249B4">
            <w:r w:rsidRPr="005336AF">
              <w:t>SEND is an implementation of the SDTM standard for nonclinical studies. SEND specifies a way to collect and present nonclinical data in a consistent format.</w:t>
            </w:r>
          </w:p>
        </w:tc>
      </w:tr>
      <w:tr w:rsidR="00E249B4" w14:paraId="2C7BE6BF" w14:textId="77777777" w:rsidTr="00A66E29">
        <w:trPr>
          <w:cantSplit/>
        </w:trPr>
        <w:tc>
          <w:tcPr>
            <w:tcW w:w="1980" w:type="dxa"/>
          </w:tcPr>
          <w:p w14:paraId="4FC5B52B" w14:textId="0939C143" w:rsidR="00E249B4" w:rsidRDefault="005336AF" w:rsidP="00E249B4">
            <w:proofErr w:type="spellStart"/>
            <w:r>
              <w:t>Tumor.xpt</w:t>
            </w:r>
            <w:proofErr w:type="spellEnd"/>
          </w:p>
        </w:tc>
        <w:tc>
          <w:tcPr>
            <w:tcW w:w="3117" w:type="dxa"/>
          </w:tcPr>
          <w:p w14:paraId="6EC41C1E" w14:textId="12926C03" w:rsidR="00E249B4" w:rsidRDefault="003E1EE0" w:rsidP="00E249B4">
            <w:proofErr w:type="spellStart"/>
            <w:r>
              <w:t>Tumor.xpt</w:t>
            </w:r>
            <w:proofErr w:type="spellEnd"/>
          </w:p>
        </w:tc>
        <w:tc>
          <w:tcPr>
            <w:tcW w:w="4396" w:type="dxa"/>
          </w:tcPr>
          <w:p w14:paraId="7477A182" w14:textId="10E93453" w:rsidR="00E249B4" w:rsidRDefault="003E1EE0" w:rsidP="00E249B4">
            <w:r>
              <w:t xml:space="preserve">The </w:t>
            </w:r>
            <w:proofErr w:type="spellStart"/>
            <w:r>
              <w:t>tumor.xpt</w:t>
            </w:r>
            <w:proofErr w:type="spellEnd"/>
            <w:r>
              <w:t xml:space="preserve"> </w:t>
            </w:r>
            <w:r w:rsidR="00D30FEB">
              <w:t xml:space="preserve">may </w:t>
            </w:r>
            <w:r>
              <w:t xml:space="preserve">reference both </w:t>
            </w:r>
            <w:r w:rsidR="00505401">
              <w:t>a file</w:t>
            </w:r>
            <w:r w:rsidR="00D30FEB">
              <w:t xml:space="preserve"> named ‘tumor’</w:t>
            </w:r>
            <w:r w:rsidR="00505401">
              <w:t xml:space="preserve"> in SAS Transport file format (.</w:t>
            </w:r>
            <w:proofErr w:type="spellStart"/>
            <w:r w:rsidR="00505401">
              <w:t>xpt</w:t>
            </w:r>
            <w:proofErr w:type="spellEnd"/>
            <w:r w:rsidR="00505401">
              <w:t>) and the format specification provided by FDA for how data should be organized within the file.</w:t>
            </w:r>
          </w:p>
        </w:tc>
      </w:tr>
      <w:tr w:rsidR="001E4F5E" w14:paraId="21A5A134" w14:textId="77777777" w:rsidTr="00A66E29">
        <w:trPr>
          <w:cantSplit/>
        </w:trPr>
        <w:tc>
          <w:tcPr>
            <w:tcW w:w="1980" w:type="dxa"/>
          </w:tcPr>
          <w:p w14:paraId="709A26D7" w14:textId="40F607A5" w:rsidR="001E4F5E" w:rsidRDefault="005E23D1" w:rsidP="00E249B4">
            <w:proofErr w:type="spellStart"/>
            <w:r>
              <w:lastRenderedPageBreak/>
              <w:t>Tumor.xpt</w:t>
            </w:r>
            <w:proofErr w:type="spellEnd"/>
            <w:r>
              <w:t xml:space="preserve"> </w:t>
            </w:r>
            <w:proofErr w:type="spellStart"/>
            <w:r>
              <w:t>PhUSE</w:t>
            </w:r>
            <w:proofErr w:type="spellEnd"/>
            <w:r>
              <w:t xml:space="preserve"> team</w:t>
            </w:r>
          </w:p>
        </w:tc>
        <w:tc>
          <w:tcPr>
            <w:tcW w:w="3117" w:type="dxa"/>
          </w:tcPr>
          <w:p w14:paraId="64D0F79F" w14:textId="3CB8A0D8" w:rsidR="001E4F5E" w:rsidRDefault="005E23D1" w:rsidP="00E249B4">
            <w:r>
              <w:t xml:space="preserve">Conformance with the </w:t>
            </w:r>
            <w:proofErr w:type="spellStart"/>
            <w:r>
              <w:t>tumor.xpt</w:t>
            </w:r>
            <w:proofErr w:type="spellEnd"/>
            <w:r>
              <w:t xml:space="preserve"> Specification team</w:t>
            </w:r>
          </w:p>
        </w:tc>
        <w:tc>
          <w:tcPr>
            <w:tcW w:w="4396" w:type="dxa"/>
          </w:tcPr>
          <w:p w14:paraId="3FB86FCB" w14:textId="395878E2" w:rsidR="001E4F5E" w:rsidRDefault="005E23D1" w:rsidP="00E249B4">
            <w:r>
              <w:t xml:space="preserve">The team’s full name is ‘Conformance with the </w:t>
            </w:r>
            <w:proofErr w:type="spellStart"/>
            <w:r>
              <w:t>tumor.xpt</w:t>
            </w:r>
            <w:proofErr w:type="spellEnd"/>
            <w:r>
              <w:t xml:space="preserve"> Specification’.</w:t>
            </w:r>
          </w:p>
        </w:tc>
      </w:tr>
    </w:tbl>
    <w:p w14:paraId="2A6A99B8" w14:textId="3BE9AC34" w:rsidR="00467F52" w:rsidRPr="00DA5326" w:rsidRDefault="00467F52" w:rsidP="00467F52">
      <w:pPr>
        <w:pStyle w:val="Heading1"/>
      </w:pPr>
      <w:bookmarkStart w:id="4" w:name="_Toc222409615"/>
      <w:r>
        <w:t xml:space="preserve">6: </w:t>
      </w:r>
      <w:r w:rsidR="00EE0B79">
        <w:t>Project Approach</w:t>
      </w:r>
      <w:r w:rsidR="00376672">
        <w:t xml:space="preserve"> and Deliverable</w:t>
      </w:r>
      <w:r>
        <w:t>:</w:t>
      </w:r>
      <w:bookmarkEnd w:id="4"/>
    </w:p>
    <w:p w14:paraId="5634C116" w14:textId="5149A563" w:rsidR="00DA5326" w:rsidRDefault="00153DF7" w:rsidP="00DA5326">
      <w:r>
        <w:t xml:space="preserve">The Team has employed a practice during the creation of the </w:t>
      </w:r>
      <w:proofErr w:type="spellStart"/>
      <w:r>
        <w:t>tumor.xpt</w:t>
      </w:r>
      <w:proofErr w:type="spellEnd"/>
      <w:r>
        <w:t xml:space="preserve"> conformance rules</w:t>
      </w:r>
      <w:r w:rsidR="00CC1866">
        <w:t xml:space="preserve"> to always keep in mind that it is the </w:t>
      </w:r>
      <w:r w:rsidR="00926E6E">
        <w:t>“</w:t>
      </w:r>
      <w:proofErr w:type="spellStart"/>
      <w:r w:rsidR="00926E6E">
        <w:t>t</w:t>
      </w:r>
      <w:r w:rsidR="00CC1866">
        <w:t>umor.xpt</w:t>
      </w:r>
      <w:proofErr w:type="spellEnd"/>
      <w:r w:rsidR="00CC1866">
        <w:t xml:space="preserve"> </w:t>
      </w:r>
      <w:r w:rsidR="00926E6E">
        <w:t xml:space="preserve">package” that should be verified against </w:t>
      </w:r>
      <w:r w:rsidR="001C4142">
        <w:t xml:space="preserve">any external references, like SEND and not the other way around. If any rules </w:t>
      </w:r>
      <w:r w:rsidR="008D4848">
        <w:t>require</w:t>
      </w:r>
      <w:r w:rsidR="00BF4307">
        <w:t xml:space="preserve"> SEND conformance with an accompanying </w:t>
      </w:r>
      <w:proofErr w:type="spellStart"/>
      <w:r w:rsidR="00BF4307">
        <w:t>tumor.xpt</w:t>
      </w:r>
      <w:proofErr w:type="spellEnd"/>
      <w:r w:rsidR="00BF4307">
        <w:t xml:space="preserve"> file, it is considered beyond the scope of this team to create such rules</w:t>
      </w:r>
      <w:r w:rsidR="00800886">
        <w:t>.</w:t>
      </w:r>
    </w:p>
    <w:p w14:paraId="7F8CB455" w14:textId="14E5FE86" w:rsidR="00DA2BCA" w:rsidRDefault="00DA2BCA" w:rsidP="00DA5326">
      <w:r>
        <w:t>The</w:t>
      </w:r>
      <w:r w:rsidR="0097080B">
        <w:t xml:space="preserve"> Team approached the task of creating rules starting with the </w:t>
      </w:r>
      <w:r w:rsidR="00D96F2E" w:rsidRPr="00D96F2E">
        <w:t>FDA CDER</w:t>
      </w:r>
      <w:r w:rsidR="00B02751">
        <w:t xml:space="preserve"> guidance</w:t>
      </w:r>
      <w:r w:rsidR="00D96F2E" w:rsidRPr="00D96F2E">
        <w:t xml:space="preserve">: Submitting Nonclinical Datasets for Evaluation of Rodent Carcinogenicity Studies of Pharmaceuticals. May 2021. Version 1.0. </w:t>
      </w:r>
      <w:r w:rsidR="005F1BCA">
        <w:t>[</w:t>
      </w:r>
      <w:r w:rsidR="005F1BCA" w:rsidRPr="00842D71">
        <w:rPr>
          <w:color w:val="0100FF"/>
          <w:u w:val="single"/>
        </w:rPr>
        <w:fldChar w:fldCharType="begin"/>
      </w:r>
      <w:r w:rsidR="005F1BCA" w:rsidRPr="00842D71">
        <w:rPr>
          <w:color w:val="0100FF"/>
          <w:u w:val="single"/>
        </w:rPr>
        <w:instrText xml:space="preserve"> REF _Ref218782569 \r \h </w:instrText>
      </w:r>
      <w:r w:rsidR="00842D71">
        <w:rPr>
          <w:color w:val="0100FF"/>
          <w:u w:val="single"/>
        </w:rPr>
        <w:instrText xml:space="preserve"> \* MERGEFORMAT </w:instrText>
      </w:r>
      <w:r w:rsidR="005F1BCA" w:rsidRPr="00842D71">
        <w:rPr>
          <w:color w:val="0100FF"/>
          <w:u w:val="single"/>
        </w:rPr>
      </w:r>
      <w:r w:rsidR="005F1BCA" w:rsidRPr="00842D71">
        <w:rPr>
          <w:color w:val="0100FF"/>
          <w:u w:val="single"/>
        </w:rPr>
        <w:fldChar w:fldCharType="separate"/>
      </w:r>
      <w:r w:rsidR="0070533A">
        <w:rPr>
          <w:color w:val="0100FF"/>
          <w:u w:val="single"/>
        </w:rPr>
        <w:t>1</w:t>
      </w:r>
      <w:r w:rsidR="005F1BCA" w:rsidRPr="00842D71">
        <w:rPr>
          <w:color w:val="0100FF"/>
          <w:u w:val="single"/>
        </w:rPr>
        <w:fldChar w:fldCharType="end"/>
      </w:r>
      <w:r w:rsidR="00663CAD">
        <w:t>]. If another guidance document was incorporated by reference</w:t>
      </w:r>
      <w:r w:rsidR="00C47041">
        <w:t>,</w:t>
      </w:r>
      <w:r w:rsidR="00036EDA">
        <w:t xml:space="preserve"> e.g. </w:t>
      </w:r>
      <w:r w:rsidR="00FE1FF2">
        <w:t>[</w:t>
      </w:r>
      <w:r w:rsidR="00FE1FF2" w:rsidRPr="00FE1FF2">
        <w:rPr>
          <w:color w:val="0100FF"/>
          <w:u w:val="single"/>
        </w:rPr>
        <w:fldChar w:fldCharType="begin"/>
      </w:r>
      <w:r w:rsidR="00FE1FF2" w:rsidRPr="00FE1FF2">
        <w:rPr>
          <w:color w:val="0100FF"/>
          <w:u w:val="single"/>
        </w:rPr>
        <w:instrText xml:space="preserve"> REF _Ref218783532 \r \h </w:instrText>
      </w:r>
      <w:r w:rsidR="00FE1FF2" w:rsidRPr="00FE1FF2">
        <w:rPr>
          <w:color w:val="0100FF"/>
          <w:u w:val="single"/>
        </w:rPr>
      </w:r>
      <w:r w:rsidR="00FE1FF2" w:rsidRPr="00FE1FF2">
        <w:rPr>
          <w:color w:val="0100FF"/>
          <w:u w:val="single"/>
        </w:rPr>
        <w:fldChar w:fldCharType="separate"/>
      </w:r>
      <w:r w:rsidR="0070533A">
        <w:rPr>
          <w:color w:val="0100FF"/>
          <w:u w:val="single"/>
        </w:rPr>
        <w:t>2</w:t>
      </w:r>
      <w:r w:rsidR="00FE1FF2" w:rsidRPr="00FE1FF2">
        <w:rPr>
          <w:color w:val="0100FF"/>
          <w:u w:val="single"/>
        </w:rPr>
        <w:fldChar w:fldCharType="end"/>
      </w:r>
      <w:r w:rsidR="00FE1FF2" w:rsidRPr="00FE1FF2">
        <w:rPr>
          <w:color w:val="0100FF"/>
          <w:u w:val="single"/>
        </w:rPr>
        <w:t>,</w:t>
      </w:r>
      <w:r w:rsidR="00FE1FF2" w:rsidRPr="00FE1FF2">
        <w:rPr>
          <w:color w:val="0100FF"/>
        </w:rPr>
        <w:t xml:space="preserve"> </w:t>
      </w:r>
      <w:r w:rsidR="00FE1FF2" w:rsidRPr="00FE1FF2">
        <w:rPr>
          <w:color w:val="0100FF"/>
          <w:u w:val="single"/>
        </w:rPr>
        <w:fldChar w:fldCharType="begin"/>
      </w:r>
      <w:r w:rsidR="00FE1FF2" w:rsidRPr="00FE1FF2">
        <w:rPr>
          <w:color w:val="0100FF"/>
          <w:u w:val="single"/>
        </w:rPr>
        <w:instrText xml:space="preserve"> REF _Ref218783537 \r \h </w:instrText>
      </w:r>
      <w:r w:rsidR="00FE1FF2" w:rsidRPr="00FE1FF2">
        <w:rPr>
          <w:color w:val="0100FF"/>
          <w:u w:val="single"/>
        </w:rPr>
      </w:r>
      <w:r w:rsidR="00FE1FF2" w:rsidRPr="00FE1FF2">
        <w:rPr>
          <w:color w:val="0100FF"/>
          <w:u w:val="single"/>
        </w:rPr>
        <w:fldChar w:fldCharType="separate"/>
      </w:r>
      <w:r w:rsidR="0070533A">
        <w:rPr>
          <w:color w:val="0100FF"/>
          <w:u w:val="single"/>
        </w:rPr>
        <w:t>3</w:t>
      </w:r>
      <w:r w:rsidR="00FE1FF2" w:rsidRPr="00FE1FF2">
        <w:rPr>
          <w:color w:val="0100FF"/>
          <w:u w:val="single"/>
        </w:rPr>
        <w:fldChar w:fldCharType="end"/>
      </w:r>
      <w:r w:rsidR="00FE1FF2">
        <w:t>]</w:t>
      </w:r>
      <w:r w:rsidR="003C58C5">
        <w:t xml:space="preserve">, this guidance was also reviewed and rules created </w:t>
      </w:r>
      <w:r w:rsidR="00525F0B">
        <w:t xml:space="preserve">where </w:t>
      </w:r>
      <w:r w:rsidR="00C6583F">
        <w:t>specified in the body text or tables.</w:t>
      </w:r>
      <w:r w:rsidR="00C80EFF">
        <w:t xml:space="preserve"> The Conformance Rules include a ‘Cited Document and Version’ column to indicate which guidance and section of that guidance </w:t>
      </w:r>
      <w:r w:rsidR="00982C12">
        <w:t>that was used t</w:t>
      </w:r>
      <w:r w:rsidR="00F67FF0">
        <w:t xml:space="preserve">o create </w:t>
      </w:r>
      <w:r w:rsidR="00C80EFF">
        <w:t>the rule.</w:t>
      </w:r>
    </w:p>
    <w:p w14:paraId="5A48CE14" w14:textId="5A01F0B4" w:rsidR="00BB5DBB" w:rsidRDefault="00BB5DBB" w:rsidP="00DA5326">
      <w:r w:rsidRPr="00BB5DBB">
        <w:t xml:space="preserve">The </w:t>
      </w:r>
      <w:proofErr w:type="spellStart"/>
      <w:r w:rsidRPr="00BB5DBB">
        <w:t>tumor.xpt</w:t>
      </w:r>
      <w:proofErr w:type="spellEnd"/>
      <w:r w:rsidRPr="00BB5DBB">
        <w:t xml:space="preserve"> technical specification </w:t>
      </w:r>
      <w:r w:rsidR="002C7D37">
        <w:t>has remained largely unchanged since</w:t>
      </w:r>
      <w:r w:rsidRPr="00BB5DBB">
        <w:t xml:space="preserve"> 1999</w:t>
      </w:r>
      <w:r w:rsidR="006B39EE">
        <w:t xml:space="preserve"> [</w:t>
      </w:r>
      <w:r w:rsidR="006B39EE" w:rsidRPr="006B39EE">
        <w:rPr>
          <w:color w:val="0100FF"/>
          <w:u w:val="single"/>
        </w:rPr>
        <w:fldChar w:fldCharType="begin"/>
      </w:r>
      <w:r w:rsidR="006B39EE" w:rsidRPr="006B39EE">
        <w:rPr>
          <w:color w:val="0100FF"/>
          <w:u w:val="single"/>
        </w:rPr>
        <w:instrText xml:space="preserve"> REF _Ref221200325 \r \h </w:instrText>
      </w:r>
      <w:r w:rsidR="006B39EE">
        <w:rPr>
          <w:color w:val="0100FF"/>
          <w:u w:val="single"/>
        </w:rPr>
        <w:instrText xml:space="preserve"> \* MERGEFORMAT </w:instrText>
      </w:r>
      <w:r w:rsidR="006B39EE" w:rsidRPr="006B39EE">
        <w:rPr>
          <w:color w:val="0100FF"/>
          <w:u w:val="single"/>
        </w:rPr>
      </w:r>
      <w:r w:rsidR="006B39EE" w:rsidRPr="006B39EE">
        <w:rPr>
          <w:color w:val="0100FF"/>
          <w:u w:val="single"/>
        </w:rPr>
        <w:fldChar w:fldCharType="separate"/>
      </w:r>
      <w:r w:rsidR="0070533A">
        <w:rPr>
          <w:color w:val="0100FF"/>
          <w:u w:val="single"/>
        </w:rPr>
        <w:t>5</w:t>
      </w:r>
      <w:r w:rsidR="006B39EE" w:rsidRPr="006B39EE">
        <w:rPr>
          <w:color w:val="0100FF"/>
          <w:u w:val="single"/>
        </w:rPr>
        <w:fldChar w:fldCharType="end"/>
      </w:r>
      <w:r w:rsidR="006B39EE">
        <w:t>]</w:t>
      </w:r>
      <w:r w:rsidRPr="00BB5DBB">
        <w:t>. Since the</w:t>
      </w:r>
      <w:r w:rsidR="009812FB">
        <w:t>n</w:t>
      </w:r>
      <w:r w:rsidR="006B39EE">
        <w:t>,</w:t>
      </w:r>
      <w:r w:rsidRPr="00BB5DBB">
        <w:t xml:space="preserve"> the industry has advanced tremendously in reading and implementing technical specifications from CDISC standards. </w:t>
      </w:r>
      <w:r w:rsidR="00C83AE6">
        <w:t>W</w:t>
      </w:r>
      <w:r w:rsidR="000F53A5">
        <w:t xml:space="preserve">hen reading the </w:t>
      </w:r>
      <w:proofErr w:type="spellStart"/>
      <w:r w:rsidR="000F53A5" w:rsidRPr="00BB5DBB">
        <w:t>tumor.xpt</w:t>
      </w:r>
      <w:proofErr w:type="spellEnd"/>
      <w:r w:rsidR="000F53A5" w:rsidRPr="00BB5DBB">
        <w:t xml:space="preserve"> technical specification </w:t>
      </w:r>
      <w:r w:rsidR="000F53A5">
        <w:t>with current</w:t>
      </w:r>
      <w:r w:rsidR="006365D5">
        <w:t xml:space="preserve"> knowledge, it</w:t>
      </w:r>
      <w:r w:rsidRPr="00BB5DBB">
        <w:t xml:space="preserve"> leaves open some questions that have not previously been asked related to the </w:t>
      </w:r>
      <w:proofErr w:type="spellStart"/>
      <w:r w:rsidRPr="00BB5DBB">
        <w:t>tumor.xpt</w:t>
      </w:r>
      <w:proofErr w:type="spellEnd"/>
      <w:r w:rsidRPr="00BB5DBB">
        <w:t xml:space="preserve"> specification, such as variable expectancy, which is not specified for the </w:t>
      </w:r>
      <w:proofErr w:type="spellStart"/>
      <w:r w:rsidRPr="00BB5DBB">
        <w:t>tumor.xpt</w:t>
      </w:r>
      <w:proofErr w:type="spellEnd"/>
      <w:r w:rsidRPr="00BB5DBB">
        <w:t>.</w:t>
      </w:r>
      <w:r w:rsidR="006365D5">
        <w:t xml:space="preserve"> The </w:t>
      </w:r>
      <w:proofErr w:type="spellStart"/>
      <w:r w:rsidR="005E23D1">
        <w:t>Tumor.xpt</w:t>
      </w:r>
      <w:proofErr w:type="spellEnd"/>
      <w:r w:rsidR="005E23D1">
        <w:t xml:space="preserve"> </w:t>
      </w:r>
      <w:proofErr w:type="spellStart"/>
      <w:r w:rsidR="006365D5">
        <w:t>PhUSE</w:t>
      </w:r>
      <w:proofErr w:type="spellEnd"/>
      <w:r w:rsidR="006365D5">
        <w:t xml:space="preserve"> team</w:t>
      </w:r>
      <w:r w:rsidR="00F85E41">
        <w:t xml:space="preserve"> has made </w:t>
      </w:r>
      <w:r w:rsidR="005723B4">
        <w:t xml:space="preserve">qualified assumptions </w:t>
      </w:r>
      <w:r w:rsidR="00F85E41">
        <w:t>in categorizing variables</w:t>
      </w:r>
      <w:r w:rsidR="005723B4">
        <w:t xml:space="preserve"> as either ‘Required’ (</w:t>
      </w:r>
      <w:r w:rsidR="00785B2C">
        <w:t>must be present in the dataset and populated for all records) or ‘Expected’ (must be present in the dataset but may be empty for some records)</w:t>
      </w:r>
      <w:r w:rsidR="00F2707D">
        <w:t>. It was not assumed that any variables could be omitted from the structure without compromising</w:t>
      </w:r>
      <w:r w:rsidR="00F87C5B">
        <w:t xml:space="preserve"> the required sequence of variables</w:t>
      </w:r>
      <w:r w:rsidR="00C3679C">
        <w:t>, thus no variables were considered ‘Permissible’ (could be omitted if entirely empty in the dataset)</w:t>
      </w:r>
      <w:r w:rsidR="00AB430B">
        <w:t>. This categorization</w:t>
      </w:r>
      <w:r w:rsidR="00FA51CA">
        <w:t xml:space="preserve"> into Required or Expected is reflected only </w:t>
      </w:r>
      <w:r w:rsidR="000613C7">
        <w:t>within individual rules</w:t>
      </w:r>
      <w:r w:rsidR="00232DF2">
        <w:t>.</w:t>
      </w:r>
      <w:r w:rsidR="00FA51CA">
        <w:t xml:space="preserve"> </w:t>
      </w:r>
    </w:p>
    <w:p w14:paraId="69E1303B" w14:textId="7243FE16" w:rsidR="0045183E" w:rsidRDefault="00053F3F" w:rsidP="00DA5326">
      <w:r>
        <w:t xml:space="preserve">The final deliverable of the project is an MS Excel file </w:t>
      </w:r>
      <w:r w:rsidR="00753A81">
        <w:t>‘</w:t>
      </w:r>
      <w:r w:rsidR="00F32820">
        <w:t xml:space="preserve">Conformance Rules’ </w:t>
      </w:r>
      <w:r w:rsidR="002C1A3F">
        <w:t xml:space="preserve">containing </w:t>
      </w:r>
      <w:r w:rsidR="000C3718">
        <w:t xml:space="preserve">the </w:t>
      </w:r>
      <w:proofErr w:type="spellStart"/>
      <w:r w:rsidR="000C3718">
        <w:t>tumor.xpt</w:t>
      </w:r>
      <w:proofErr w:type="spellEnd"/>
      <w:r w:rsidR="000C3718">
        <w:t xml:space="preserve"> Conformance Rules, which includes both plain text description</w:t>
      </w:r>
      <w:r w:rsidR="00F25021">
        <w:t xml:space="preserve">, </w:t>
      </w:r>
      <w:r w:rsidR="00975B48">
        <w:t>conditions,</w:t>
      </w:r>
      <w:r w:rsidR="00F25021">
        <w:t xml:space="preserve"> and pseudo</w:t>
      </w:r>
      <w:r w:rsidR="005A0E4F">
        <w:t>code</w:t>
      </w:r>
      <w:r w:rsidR="00F25021">
        <w:t xml:space="preserve"> for each rule.</w:t>
      </w:r>
      <w:r w:rsidR="0045183E">
        <w:t xml:space="preserve"> Each release will be version controlled and include a ‘General Release Notes’ tab describing</w:t>
      </w:r>
      <w:r w:rsidR="00865EC1">
        <w:t xml:space="preserve"> current and previous versions and</w:t>
      </w:r>
      <w:r w:rsidR="00BE1745">
        <w:t xml:space="preserve"> guidance from the </w:t>
      </w:r>
      <w:proofErr w:type="spellStart"/>
      <w:r w:rsidR="00BE1745">
        <w:t>PhUSE</w:t>
      </w:r>
      <w:proofErr w:type="spellEnd"/>
      <w:r w:rsidR="00BE1745">
        <w:t xml:space="preserve"> nonclinical working group </w:t>
      </w:r>
      <w:r w:rsidR="00F021B7">
        <w:t>on how to read and</w:t>
      </w:r>
      <w:r w:rsidR="006903BC">
        <w:t xml:space="preserve"> apply the rules.</w:t>
      </w:r>
    </w:p>
    <w:p w14:paraId="1F2628BA" w14:textId="424DD19D" w:rsidR="00C9671C" w:rsidRDefault="00E30743" w:rsidP="00DA5326">
      <w:r>
        <w:lastRenderedPageBreak/>
        <w:t xml:space="preserve">It is anticipated that updates to </w:t>
      </w:r>
      <w:r w:rsidR="00EE36B5">
        <w:t>referenced</w:t>
      </w:r>
      <w:r>
        <w:t xml:space="preserve"> documents may warrant updates to this whitepaper or the </w:t>
      </w:r>
      <w:r w:rsidR="00F32820">
        <w:t xml:space="preserve">Conformance Rules </w:t>
      </w:r>
      <w:r w:rsidR="00494094">
        <w:t xml:space="preserve">MS </w:t>
      </w:r>
      <w:r w:rsidR="00D27FF0">
        <w:t xml:space="preserve">Excel file or both. This whitepaper and the </w:t>
      </w:r>
      <w:r w:rsidR="00F32820">
        <w:t xml:space="preserve">Conformance Rules </w:t>
      </w:r>
      <w:r w:rsidR="00494094">
        <w:t xml:space="preserve">MS </w:t>
      </w:r>
      <w:r w:rsidR="00D27FF0">
        <w:t>Excel file will be version controlled separately and independently</w:t>
      </w:r>
      <w:r w:rsidR="001F3CDB">
        <w:t>, as needed.</w:t>
      </w:r>
    </w:p>
    <w:p w14:paraId="40E045D4" w14:textId="495F37BA" w:rsidR="00DA5326" w:rsidRPr="00DA5326" w:rsidRDefault="00467F52" w:rsidP="00DA5326">
      <w:pPr>
        <w:pStyle w:val="Heading1"/>
      </w:pPr>
      <w:bookmarkStart w:id="5" w:name="_Toc222409616"/>
      <w:r>
        <w:t>7</w:t>
      </w:r>
      <w:r w:rsidR="00303464">
        <w:t xml:space="preserve">: </w:t>
      </w:r>
      <w:r w:rsidR="00DA5326">
        <w:t>Recommendation</w:t>
      </w:r>
      <w:r w:rsidR="00CD5223">
        <w:t>s</w:t>
      </w:r>
      <w:r w:rsidR="00DA5326">
        <w:t>:</w:t>
      </w:r>
      <w:bookmarkEnd w:id="5"/>
    </w:p>
    <w:p w14:paraId="2E847CD9" w14:textId="271A20BF" w:rsidR="00105DC8" w:rsidRDefault="00AA54F8" w:rsidP="00F44B37">
      <w:r w:rsidRPr="00AA54F8">
        <w:t xml:space="preserve">The </w:t>
      </w:r>
      <w:proofErr w:type="spellStart"/>
      <w:r w:rsidR="00863BDF">
        <w:t>Tumor.xpt</w:t>
      </w:r>
      <w:proofErr w:type="spellEnd"/>
      <w:r w:rsidR="00863BDF">
        <w:t xml:space="preserve"> </w:t>
      </w:r>
      <w:proofErr w:type="spellStart"/>
      <w:r>
        <w:t>PhUSE</w:t>
      </w:r>
      <w:proofErr w:type="spellEnd"/>
      <w:r>
        <w:t xml:space="preserve"> </w:t>
      </w:r>
      <w:r w:rsidRPr="00AA54F8">
        <w:t>team recognize</w:t>
      </w:r>
      <w:r w:rsidR="00B1717A">
        <w:t>s</w:t>
      </w:r>
      <w:r w:rsidRPr="00AA54F8">
        <w:t xml:space="preserve"> that several rules comparing the </w:t>
      </w:r>
      <w:proofErr w:type="spellStart"/>
      <w:r w:rsidRPr="00AA54F8">
        <w:t>tumor.xpt</w:t>
      </w:r>
      <w:proofErr w:type="spellEnd"/>
      <w:r w:rsidRPr="00AA54F8">
        <w:t xml:space="preserve"> with SEND datasets may not be easily automated until such a time where there is alignment between the </w:t>
      </w:r>
      <w:proofErr w:type="spellStart"/>
      <w:r w:rsidRPr="00AA54F8">
        <w:t>tumor.xpt</w:t>
      </w:r>
      <w:proofErr w:type="spellEnd"/>
      <w:r w:rsidRPr="00AA54F8">
        <w:t xml:space="preserve"> and SEND on multiple concepts e.g. USUBJID/SUBJID/ANIMLNUM, sponsor treatment groups, tissues and tumor names or codes. </w:t>
      </w:r>
      <w:r w:rsidR="00485982">
        <w:t xml:space="preserve">The General release notes </w:t>
      </w:r>
      <w:r w:rsidR="008E4577">
        <w:t xml:space="preserve">in the </w:t>
      </w:r>
      <w:r w:rsidR="00F32820">
        <w:t xml:space="preserve">Conformance Rules </w:t>
      </w:r>
      <w:r w:rsidR="008E4577">
        <w:t xml:space="preserve">MS Excel file </w:t>
      </w:r>
      <w:r w:rsidR="00485982">
        <w:t xml:space="preserve">include several </w:t>
      </w:r>
      <w:r w:rsidR="009E2066">
        <w:t>suggestions</w:t>
      </w:r>
      <w:r w:rsidR="00485982">
        <w:t xml:space="preserve"> from the </w:t>
      </w:r>
      <w:proofErr w:type="spellStart"/>
      <w:r w:rsidR="00863BDF">
        <w:t>Tumor.xpt</w:t>
      </w:r>
      <w:proofErr w:type="spellEnd"/>
      <w:r w:rsidR="00863BDF">
        <w:t xml:space="preserve"> </w:t>
      </w:r>
      <w:proofErr w:type="spellStart"/>
      <w:r w:rsidR="00485982">
        <w:t>PhUSE</w:t>
      </w:r>
      <w:proofErr w:type="spellEnd"/>
      <w:r w:rsidR="00485982">
        <w:t xml:space="preserve"> team</w:t>
      </w:r>
      <w:r w:rsidR="00663A25">
        <w:t xml:space="preserve"> </w:t>
      </w:r>
      <w:r w:rsidR="00A96B8B">
        <w:t xml:space="preserve">which </w:t>
      </w:r>
      <w:r w:rsidR="009A18BB">
        <w:t>provides</w:t>
      </w:r>
      <w:r w:rsidR="00955E1F" w:rsidRPr="00955E1F">
        <w:t xml:space="preserve"> alignment between the </w:t>
      </w:r>
      <w:proofErr w:type="spellStart"/>
      <w:r w:rsidR="00955E1F" w:rsidRPr="00955E1F">
        <w:t>tumor.xpt</w:t>
      </w:r>
      <w:proofErr w:type="spellEnd"/>
      <w:r w:rsidR="00955E1F" w:rsidRPr="00955E1F">
        <w:t xml:space="preserve"> and SEND</w:t>
      </w:r>
      <w:r w:rsidR="00575750">
        <w:t xml:space="preserve"> and</w:t>
      </w:r>
      <w:r w:rsidR="00663A25" w:rsidRPr="00663A25">
        <w:t xml:space="preserve"> </w:t>
      </w:r>
      <w:r w:rsidR="009A18BB">
        <w:t>thereby facilitate</w:t>
      </w:r>
      <w:r w:rsidR="001C7D79">
        <w:t>s</w:t>
      </w:r>
      <w:r w:rsidR="009A18BB">
        <w:t xml:space="preserve"> </w:t>
      </w:r>
      <w:r w:rsidR="00C83C92">
        <w:t xml:space="preserve">automation of </w:t>
      </w:r>
      <w:r w:rsidR="001C7D79">
        <w:t xml:space="preserve">rule </w:t>
      </w:r>
      <w:r w:rsidR="00C83C92">
        <w:t>execution through a validator.</w:t>
      </w:r>
      <w:r w:rsidR="00EE7ADC">
        <w:t xml:space="preserve"> </w:t>
      </w:r>
    </w:p>
    <w:p w14:paraId="76412E28" w14:textId="39C39983" w:rsidR="00F44B37" w:rsidRDefault="00F44B37" w:rsidP="00F44B37">
      <w:pPr>
        <w:pStyle w:val="ListParagraph"/>
        <w:numPr>
          <w:ilvl w:val="0"/>
          <w:numId w:val="5"/>
        </w:numPr>
      </w:pPr>
      <w:r>
        <w:t xml:space="preserve">The variable ANIMLNUM should match SEND USUBJID. If that is not technically feasible, a variable called USUBJID (Unique Subject Identifier) should be added to the end of variables in the </w:t>
      </w:r>
      <w:proofErr w:type="spellStart"/>
      <w:r>
        <w:t>tumor.xpt</w:t>
      </w:r>
      <w:proofErr w:type="spellEnd"/>
      <w:r>
        <w:t xml:space="preserve"> file for traceability, which maps ANIMLNUM to SEND USUBJIDs.</w:t>
      </w:r>
    </w:p>
    <w:p w14:paraId="3D94BC27" w14:textId="025AB892" w:rsidR="00F44B37" w:rsidRDefault="00F44B37" w:rsidP="00F44B37">
      <w:pPr>
        <w:pStyle w:val="ListParagraph"/>
        <w:numPr>
          <w:ilvl w:val="0"/>
          <w:numId w:val="5"/>
        </w:numPr>
      </w:pPr>
      <w:r>
        <w:t xml:space="preserve">Align DOSEGP with </w:t>
      </w:r>
      <w:proofErr w:type="gramStart"/>
      <w:r>
        <w:t>TX.SPGRPCD</w:t>
      </w:r>
      <w:proofErr w:type="gramEnd"/>
      <w:r>
        <w:t>. Avoid using '0' if not used in SEND and the report.</w:t>
      </w:r>
    </w:p>
    <w:p w14:paraId="0E02F552" w14:textId="0A61806F" w:rsidR="00F44B37" w:rsidRDefault="00F44B37" w:rsidP="00F44B37">
      <w:pPr>
        <w:pStyle w:val="ListParagraph"/>
        <w:numPr>
          <w:ilvl w:val="0"/>
          <w:numId w:val="5"/>
        </w:numPr>
      </w:pPr>
      <w:r>
        <w:t>Where at all possible, use CDISC CT for ORGANNAM and TUMORNAM</w:t>
      </w:r>
    </w:p>
    <w:p w14:paraId="76E3B1E0" w14:textId="39ADB4DC" w:rsidR="00DA5326" w:rsidRDefault="00F44B37" w:rsidP="00F44B37">
      <w:pPr>
        <w:pStyle w:val="ListParagraph"/>
        <w:numPr>
          <w:ilvl w:val="0"/>
          <w:numId w:val="5"/>
        </w:numPr>
      </w:pPr>
      <w:r>
        <w:t>Where at all possible, use CDISC C-codes for ORGANCOD and TUMORCOD for the corresponding value in ORGANNAM and TUMORNAM, respectively</w:t>
      </w:r>
    </w:p>
    <w:p w14:paraId="1E6D7C89" w14:textId="3A1BFFF3" w:rsidR="003D72B9" w:rsidRDefault="00E0378D" w:rsidP="003D72B9">
      <w:r>
        <w:t xml:space="preserve">While all the rules are created from </w:t>
      </w:r>
      <w:r w:rsidR="007D343C">
        <w:t>regulatory guidance documents, t</w:t>
      </w:r>
      <w:r w:rsidR="00744BDC">
        <w:t xml:space="preserve">he </w:t>
      </w:r>
      <w:proofErr w:type="spellStart"/>
      <w:r w:rsidR="00863BDF">
        <w:t>Tumor.xpt</w:t>
      </w:r>
      <w:proofErr w:type="spellEnd"/>
      <w:r w:rsidR="00863BDF">
        <w:t xml:space="preserve"> </w:t>
      </w:r>
      <w:proofErr w:type="spellStart"/>
      <w:r w:rsidR="00744BDC">
        <w:t>PhUSE</w:t>
      </w:r>
      <w:proofErr w:type="spellEnd"/>
      <w:r w:rsidR="00744BDC">
        <w:t xml:space="preserve"> team makes no assumptions</w:t>
      </w:r>
      <w:r w:rsidR="00540F28">
        <w:t xml:space="preserve"> on the </w:t>
      </w:r>
      <w:r w:rsidR="00543AF0">
        <w:t>importance</w:t>
      </w:r>
      <w:r w:rsidR="00C421B5">
        <w:t xml:space="preserve"> of </w:t>
      </w:r>
      <w:r w:rsidR="00543AF0">
        <w:t>each</w:t>
      </w:r>
      <w:r w:rsidR="00C421B5">
        <w:t xml:space="preserve"> rule. </w:t>
      </w:r>
      <w:r w:rsidR="00C421B5" w:rsidRPr="00C421B5">
        <w:t xml:space="preserve">Rather, companies should explain if they deviate from </w:t>
      </w:r>
      <w:r w:rsidR="00061B6F">
        <w:t>a</w:t>
      </w:r>
      <w:r w:rsidR="00C421B5" w:rsidRPr="00C421B5">
        <w:t xml:space="preserve"> rule</w:t>
      </w:r>
      <w:r w:rsidR="00566022">
        <w:t xml:space="preserve">, e.g. in the </w:t>
      </w:r>
      <w:proofErr w:type="spellStart"/>
      <w:r w:rsidR="00566022">
        <w:t>nSDRG</w:t>
      </w:r>
      <w:proofErr w:type="spellEnd"/>
      <w:r w:rsidR="00F8266B">
        <w:t xml:space="preserve"> or the define.pdf</w:t>
      </w:r>
      <w:r w:rsidR="00C421B5" w:rsidRPr="00C421B5">
        <w:t xml:space="preserve">, which will help </w:t>
      </w:r>
      <w:r w:rsidR="007B4C97">
        <w:t>facilitate</w:t>
      </w:r>
      <w:r w:rsidR="00C421B5" w:rsidRPr="00C421B5">
        <w:t xml:space="preserve"> better understand</w:t>
      </w:r>
      <w:r w:rsidR="001424C6">
        <w:t>ing of</w:t>
      </w:r>
      <w:r w:rsidR="00C421B5" w:rsidRPr="00C421B5">
        <w:t xml:space="preserve"> their dataset.</w:t>
      </w:r>
      <w:r w:rsidR="001424C6">
        <w:t xml:space="preserve"> </w:t>
      </w:r>
    </w:p>
    <w:p w14:paraId="182BD2BE" w14:textId="6B0DF7F4" w:rsidR="00DA5326" w:rsidRDefault="00467F52" w:rsidP="00DA5326">
      <w:pPr>
        <w:pStyle w:val="Heading1"/>
      </w:pPr>
      <w:bookmarkStart w:id="6" w:name="_Toc222409617"/>
      <w:r>
        <w:t>8</w:t>
      </w:r>
      <w:r w:rsidR="00303464">
        <w:t xml:space="preserve">: </w:t>
      </w:r>
      <w:r w:rsidR="00DA5326">
        <w:t>Disclaimer:</w:t>
      </w:r>
      <w:bookmarkEnd w:id="6"/>
    </w:p>
    <w:p w14:paraId="179AD73D" w14:textId="33A16DE1" w:rsidR="00156C1A" w:rsidRPr="00122F0F" w:rsidRDefault="00122F0F" w:rsidP="00122F0F">
      <w:r w:rsidRPr="00122F0F">
        <w:t xml:space="preserve">The opinions expressed in this document are those of the authors and should not be construed to represent the opinions of </w:t>
      </w:r>
      <w:proofErr w:type="spellStart"/>
      <w:r w:rsidR="001C64BC">
        <w:t>PhUSE</w:t>
      </w:r>
      <w:proofErr w:type="spellEnd"/>
      <w:r>
        <w:t xml:space="preserve"> </w:t>
      </w:r>
      <w:r w:rsidRPr="00122F0F">
        <w:t>members; respective companies/organizations or Regulator’s views</w:t>
      </w:r>
      <w:r>
        <w:t xml:space="preserve"> </w:t>
      </w:r>
      <w:r w:rsidRPr="00122F0F">
        <w:t>or policies. The content in this document should not be interpreted</w:t>
      </w:r>
      <w:r>
        <w:t xml:space="preserve"> </w:t>
      </w:r>
      <w:r w:rsidRPr="00122F0F">
        <w:t>as a data standard and/or information required by Regulatory</w:t>
      </w:r>
      <w:r>
        <w:t xml:space="preserve"> </w:t>
      </w:r>
      <w:r w:rsidRPr="00122F0F">
        <w:t>Authorities.</w:t>
      </w:r>
    </w:p>
    <w:p w14:paraId="644079F2" w14:textId="77777777" w:rsidR="00DA5326" w:rsidRDefault="00DA5326" w:rsidP="00DA5326"/>
    <w:p w14:paraId="1893183A" w14:textId="30F27824" w:rsidR="00DA5326" w:rsidRPr="00DA5326" w:rsidRDefault="00467F52" w:rsidP="00DA5326">
      <w:pPr>
        <w:pStyle w:val="Heading1"/>
      </w:pPr>
      <w:bookmarkStart w:id="7" w:name="_Toc222409618"/>
      <w:r>
        <w:t>9</w:t>
      </w:r>
      <w:r w:rsidR="00303464">
        <w:t xml:space="preserve">: </w:t>
      </w:r>
      <w:r w:rsidR="00496832">
        <w:t>References</w:t>
      </w:r>
      <w:r w:rsidR="00DA5326">
        <w:t>:</w:t>
      </w:r>
      <w:bookmarkEnd w:id="7"/>
    </w:p>
    <w:p w14:paraId="30BE8858" w14:textId="77777777" w:rsidR="00657FA2" w:rsidRDefault="00657FA2" w:rsidP="00657FA2">
      <w:r>
        <w:t>The rules are based on the following guidance documents</w:t>
      </w:r>
    </w:p>
    <w:p w14:paraId="1881678C" w14:textId="77777777" w:rsidR="00657FA2" w:rsidRDefault="00657FA2" w:rsidP="00657FA2">
      <w:pPr>
        <w:pStyle w:val="ListParagraph"/>
        <w:numPr>
          <w:ilvl w:val="0"/>
          <w:numId w:val="3"/>
        </w:numPr>
      </w:pPr>
      <w:bookmarkStart w:id="8" w:name="_Ref218782569"/>
      <w:r>
        <w:lastRenderedPageBreak/>
        <w:t>FDA CDER: Submitting Nonclinical Datasets for Evaluation of Rodent Carcinogenicity Studies of Pharmaceuticals. May 2021. Version 1.0.</w:t>
      </w:r>
      <w:bookmarkEnd w:id="8"/>
    </w:p>
    <w:p w14:paraId="376E2117" w14:textId="34AEF881" w:rsidR="00657FA2" w:rsidRDefault="00657FA2" w:rsidP="00657FA2">
      <w:pPr>
        <w:pStyle w:val="ListParagraph"/>
        <w:numPr>
          <w:ilvl w:val="0"/>
          <w:numId w:val="3"/>
        </w:numPr>
      </w:pPr>
      <w:bookmarkStart w:id="9" w:name="_Ref218783532"/>
      <w:r>
        <w:t xml:space="preserve">FDA CDER &amp; CBER: Study Data Technical Conformance Guide (TCG). </w:t>
      </w:r>
      <w:r w:rsidR="00CA6D50">
        <w:t>December 2025</w:t>
      </w:r>
      <w:r>
        <w:t xml:space="preserve">, Version </w:t>
      </w:r>
      <w:r w:rsidR="00CA6D50">
        <w:t>6.1</w:t>
      </w:r>
      <w:r>
        <w:t>.</w:t>
      </w:r>
      <w:bookmarkEnd w:id="9"/>
    </w:p>
    <w:p w14:paraId="5E151E58" w14:textId="16F84C88" w:rsidR="00DA5326" w:rsidRDefault="00657FA2" w:rsidP="00657FA2">
      <w:pPr>
        <w:pStyle w:val="ListParagraph"/>
        <w:numPr>
          <w:ilvl w:val="0"/>
          <w:numId w:val="3"/>
        </w:numPr>
      </w:pPr>
      <w:bookmarkStart w:id="10" w:name="_Ref218783537"/>
      <w:r>
        <w:t>FDA Business Rules, June 2019, Version 1.5.</w:t>
      </w:r>
      <w:bookmarkEnd w:id="10"/>
    </w:p>
    <w:p w14:paraId="2E1CA136" w14:textId="7EBB646F" w:rsidR="00982F45" w:rsidRDefault="00982F45" w:rsidP="00982F45">
      <w:r>
        <w:t>Other documents used a</w:t>
      </w:r>
      <w:r w:rsidR="00CB07FF">
        <w:t xml:space="preserve">s reference material (not a source of </w:t>
      </w:r>
      <w:proofErr w:type="spellStart"/>
      <w:r w:rsidR="00CB07FF">
        <w:t>tumor.xpt</w:t>
      </w:r>
      <w:proofErr w:type="spellEnd"/>
      <w:r w:rsidR="00CB07FF">
        <w:t xml:space="preserve"> Conformance Rules):</w:t>
      </w:r>
    </w:p>
    <w:p w14:paraId="567D7D2D" w14:textId="080BE983" w:rsidR="00792EB1" w:rsidRDefault="00F73933" w:rsidP="00657FA2">
      <w:pPr>
        <w:pStyle w:val="ListParagraph"/>
        <w:numPr>
          <w:ilvl w:val="0"/>
          <w:numId w:val="3"/>
        </w:numPr>
      </w:pPr>
      <w:r>
        <w:t xml:space="preserve">CDISC: </w:t>
      </w:r>
      <w:r w:rsidRPr="00F73933">
        <w:t>Standard for Exchange of Nonclinical Data Implementation Guide: Nonclinical Studies</w:t>
      </w:r>
      <w:r>
        <w:t xml:space="preserve">, Version 3.1.1, March 2021. </w:t>
      </w:r>
    </w:p>
    <w:p w14:paraId="0FD5D228" w14:textId="78DD406E" w:rsidR="008F4DC7" w:rsidRDefault="00527ED9" w:rsidP="002820B9">
      <w:pPr>
        <w:pStyle w:val="ListParagraph"/>
        <w:numPr>
          <w:ilvl w:val="0"/>
          <w:numId w:val="3"/>
        </w:numPr>
      </w:pPr>
      <w:bookmarkStart w:id="11" w:name="_Ref221200325"/>
      <w:r>
        <w:t>FDA: Guidance for Industry, Providing Regulatory Submissions in Electronic Format-NDAs. January 1999.</w:t>
      </w:r>
      <w:bookmarkEnd w:id="11"/>
    </w:p>
    <w:p w14:paraId="6B39F56D" w14:textId="2FFCB68B" w:rsidR="00DA5326" w:rsidRDefault="00467F52" w:rsidP="00DA5326">
      <w:pPr>
        <w:pStyle w:val="Heading1"/>
      </w:pPr>
      <w:bookmarkStart w:id="12" w:name="_Toc222409619"/>
      <w:r>
        <w:t>10</w:t>
      </w:r>
      <w:r w:rsidR="00303464">
        <w:t xml:space="preserve">: </w:t>
      </w:r>
      <w:r w:rsidR="00DA5326">
        <w:t>Project Contact Information:</w:t>
      </w:r>
      <w:bookmarkEnd w:id="12"/>
    </w:p>
    <w:p w14:paraId="657BB8A9" w14:textId="54776C55" w:rsidR="00411FE0" w:rsidRDefault="00411FE0" w:rsidP="00411FE0">
      <w:r>
        <w:t xml:space="preserve">This whitepaper is a product of the </w:t>
      </w:r>
      <w:r w:rsidR="00F56B38">
        <w:t xml:space="preserve">working group ‘Conformance with the </w:t>
      </w:r>
      <w:proofErr w:type="spellStart"/>
      <w:r w:rsidR="00F56B38">
        <w:t>tumor.xpt</w:t>
      </w:r>
      <w:proofErr w:type="spellEnd"/>
      <w:r w:rsidR="00F56B38">
        <w:t xml:space="preserve"> Specification</w:t>
      </w:r>
      <w:r w:rsidR="0028538E">
        <w:t>’</w:t>
      </w:r>
      <w:r w:rsidR="00F56B38">
        <w:t xml:space="preserve">, a </w:t>
      </w:r>
      <w:proofErr w:type="spellStart"/>
      <w:r w:rsidR="00F56B38">
        <w:t>subteam</w:t>
      </w:r>
      <w:proofErr w:type="spellEnd"/>
      <w:r w:rsidR="00F56B38">
        <w:t xml:space="preserve"> under the </w:t>
      </w:r>
      <w:proofErr w:type="spellStart"/>
      <w:r w:rsidR="00F56B38">
        <w:t>PhUSE</w:t>
      </w:r>
      <w:proofErr w:type="spellEnd"/>
      <w:r w:rsidR="00F56B38">
        <w:t xml:space="preserve"> Nonclinical Working Group</w:t>
      </w:r>
      <w:r w:rsidR="00152DBB">
        <w:t xml:space="preserve">. </w:t>
      </w:r>
    </w:p>
    <w:p w14:paraId="168931D2" w14:textId="77777777" w:rsidR="006A6C7F" w:rsidRDefault="00152DBB" w:rsidP="006A6C7F">
      <w:r w:rsidRPr="00152DBB">
        <w:t xml:space="preserve">Any feedback or questions to this document should be submitted to the </w:t>
      </w:r>
      <w:proofErr w:type="spellStart"/>
      <w:r w:rsidRPr="00152DBB">
        <w:t>PhUSE</w:t>
      </w:r>
      <w:proofErr w:type="spellEnd"/>
      <w:r w:rsidRPr="00152DBB">
        <w:t xml:space="preserve"> Office (</w:t>
      </w:r>
      <w:proofErr w:type="spellStart"/>
      <w:r w:rsidRPr="00152DBB">
        <w:t>workinggroups@phuse.global</w:t>
      </w:r>
      <w:proofErr w:type="spellEnd"/>
      <w:r w:rsidRPr="00152DBB">
        <w:t xml:space="preserve">). Please reference the file name and version that you are providing </w:t>
      </w:r>
      <w:r w:rsidR="006A6C7F" w:rsidRPr="00152DBB">
        <w:t>feedback on as well as contact details for where to direct a reply.</w:t>
      </w:r>
    </w:p>
    <w:p w14:paraId="7A94293F" w14:textId="2848F0AD" w:rsidR="00972E87" w:rsidRDefault="00972E87" w:rsidP="00411FE0"/>
    <w:p w14:paraId="7BFBA01A" w14:textId="77777777" w:rsidR="00972E87" w:rsidRDefault="00972E87">
      <w:pPr>
        <w:widowControl/>
        <w:spacing w:after="0"/>
      </w:pPr>
      <w:r>
        <w:br w:type="page"/>
      </w:r>
    </w:p>
    <w:p w14:paraId="267EF5F8" w14:textId="7B8643DD" w:rsidR="00B96054" w:rsidRDefault="00303464" w:rsidP="00B96054">
      <w:pPr>
        <w:pStyle w:val="Heading1"/>
      </w:pPr>
      <w:bookmarkStart w:id="13" w:name="_Toc222409620"/>
      <w:r>
        <w:lastRenderedPageBreak/>
        <w:t>1</w:t>
      </w:r>
      <w:r w:rsidR="00467F52">
        <w:t>1</w:t>
      </w:r>
      <w:r>
        <w:t xml:space="preserve">: </w:t>
      </w:r>
      <w:r w:rsidR="00B96054" w:rsidRPr="00B96054">
        <w:t>Acknowledgments:</w:t>
      </w:r>
      <w:bookmarkEnd w:id="13"/>
    </w:p>
    <w:p w14:paraId="4EFAF7A6" w14:textId="68ED98E0" w:rsidR="00B96054" w:rsidRDefault="008B585F" w:rsidP="00B96054">
      <w:proofErr w:type="spellStart"/>
      <w:r>
        <w:t>PhUSE</w:t>
      </w:r>
      <w:proofErr w:type="spellEnd"/>
      <w:r>
        <w:t xml:space="preserve"> Working Group members</w:t>
      </w:r>
      <w:r w:rsidR="00D24FFD">
        <w:t xml:space="preserve"> of ‘Conformance with the </w:t>
      </w:r>
      <w:proofErr w:type="spellStart"/>
      <w:r w:rsidR="00D24FFD">
        <w:t>tumor.xpt</w:t>
      </w:r>
      <w:proofErr w:type="spellEnd"/>
      <w:r w:rsidR="00D24FFD">
        <w:t xml:space="preserve"> Specification’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05FD" w14:paraId="1E00FA4A" w14:textId="77777777" w:rsidTr="002B3D1A">
        <w:trPr>
          <w:tblHeader/>
        </w:trPr>
        <w:tc>
          <w:tcPr>
            <w:tcW w:w="4675" w:type="dxa"/>
            <w:shd w:val="clear" w:color="auto" w:fill="D9D9D9" w:themeFill="background1" w:themeFillShade="D9"/>
          </w:tcPr>
          <w:p w14:paraId="17863083" w14:textId="15C91D51" w:rsidR="006A05FD" w:rsidRDefault="006A05FD" w:rsidP="00B96054">
            <w:r>
              <w:t>Name, Role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11FFD0FB" w14:textId="49A3DC23" w:rsidR="006A05FD" w:rsidRDefault="006A05FD" w:rsidP="00B96054">
            <w:r>
              <w:t>Company</w:t>
            </w:r>
          </w:p>
        </w:tc>
      </w:tr>
      <w:tr w:rsidR="006A05FD" w14:paraId="1AF3CC40" w14:textId="77777777" w:rsidTr="002B3D1A">
        <w:tc>
          <w:tcPr>
            <w:tcW w:w="4675" w:type="dxa"/>
          </w:tcPr>
          <w:p w14:paraId="268E98D7" w14:textId="5EFEE299" w:rsidR="006A05FD" w:rsidRDefault="006A05FD" w:rsidP="0000390F">
            <w:r>
              <w:t xml:space="preserve">Gitte Frausing, </w:t>
            </w:r>
            <w:proofErr w:type="spellStart"/>
            <w:r w:rsidR="0000390F">
              <w:t>Subteam</w:t>
            </w:r>
            <w:proofErr w:type="spellEnd"/>
            <w:r w:rsidR="0000390F">
              <w:t xml:space="preserve"> Lead</w:t>
            </w:r>
          </w:p>
        </w:tc>
        <w:tc>
          <w:tcPr>
            <w:tcW w:w="4675" w:type="dxa"/>
          </w:tcPr>
          <w:p w14:paraId="478A2D2C" w14:textId="7F107298" w:rsidR="006A05FD" w:rsidRDefault="006A05FD" w:rsidP="00B96054">
            <w:r>
              <w:t>Data Standards Decisions</w:t>
            </w:r>
          </w:p>
        </w:tc>
      </w:tr>
      <w:tr w:rsidR="006A05FD" w14:paraId="21F7FD93" w14:textId="77777777" w:rsidTr="002B3D1A">
        <w:tc>
          <w:tcPr>
            <w:tcW w:w="4675" w:type="dxa"/>
          </w:tcPr>
          <w:p w14:paraId="15EF6FDF" w14:textId="32593D4B" w:rsidR="006A05FD" w:rsidRDefault="000E3FB9" w:rsidP="00B96054">
            <w:proofErr w:type="spellStart"/>
            <w:r>
              <w:t>Hepei</w:t>
            </w:r>
            <w:proofErr w:type="spellEnd"/>
            <w:r>
              <w:t xml:space="preserve"> Chen, </w:t>
            </w:r>
            <w:proofErr w:type="spellStart"/>
            <w:r>
              <w:t>Subteam</w:t>
            </w:r>
            <w:proofErr w:type="spellEnd"/>
            <w:r>
              <w:t xml:space="preserve"> Lead</w:t>
            </w:r>
          </w:p>
        </w:tc>
        <w:tc>
          <w:tcPr>
            <w:tcW w:w="4675" w:type="dxa"/>
          </w:tcPr>
          <w:p w14:paraId="1DA36F78" w14:textId="61608A9A" w:rsidR="006A05FD" w:rsidRDefault="000E3FB9" w:rsidP="00B96054">
            <w:r>
              <w:t>FDA</w:t>
            </w:r>
          </w:p>
        </w:tc>
      </w:tr>
      <w:tr w:rsidR="00FE1E40" w14:paraId="0A6B36E2" w14:textId="77777777" w:rsidTr="002B3D1A">
        <w:tc>
          <w:tcPr>
            <w:tcW w:w="4675" w:type="dxa"/>
            <w:shd w:val="clear" w:color="auto" w:fill="D9D9D9" w:themeFill="background1" w:themeFillShade="D9"/>
          </w:tcPr>
          <w:p w14:paraId="4E08270E" w14:textId="62D3824B" w:rsidR="00FE1E40" w:rsidRDefault="00FE1E40" w:rsidP="00B96054">
            <w:r>
              <w:t>Current members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29CF227F" w14:textId="77777777" w:rsidR="00FE1E40" w:rsidRDefault="00FE1E40" w:rsidP="00B96054"/>
        </w:tc>
      </w:tr>
      <w:tr w:rsidR="006A05FD" w14:paraId="089689CA" w14:textId="77777777" w:rsidTr="002B3D1A">
        <w:tc>
          <w:tcPr>
            <w:tcW w:w="4675" w:type="dxa"/>
          </w:tcPr>
          <w:p w14:paraId="41C7C5F8" w14:textId="6D02AC00" w:rsidR="006A05FD" w:rsidRDefault="00CC232D" w:rsidP="00B96054">
            <w:r>
              <w:t xml:space="preserve">Benjamin </w:t>
            </w:r>
            <w:proofErr w:type="spellStart"/>
            <w:r>
              <w:t>Sefing</w:t>
            </w:r>
            <w:proofErr w:type="spellEnd"/>
          </w:p>
        </w:tc>
        <w:tc>
          <w:tcPr>
            <w:tcW w:w="4675" w:type="dxa"/>
          </w:tcPr>
          <w:p w14:paraId="2802A592" w14:textId="7BDB41E4" w:rsidR="006A05FD" w:rsidRDefault="00C46B93" w:rsidP="00B96054">
            <w:r>
              <w:t>Merck</w:t>
            </w:r>
          </w:p>
        </w:tc>
      </w:tr>
      <w:tr w:rsidR="006A05FD" w14:paraId="1136D2BD" w14:textId="77777777" w:rsidTr="002B3D1A">
        <w:tc>
          <w:tcPr>
            <w:tcW w:w="4675" w:type="dxa"/>
          </w:tcPr>
          <w:p w14:paraId="1230C342" w14:textId="1A8D7337" w:rsidR="006A05FD" w:rsidRDefault="00C46B93" w:rsidP="00B96054">
            <w:r>
              <w:t>Christy Kubin</w:t>
            </w:r>
          </w:p>
        </w:tc>
        <w:tc>
          <w:tcPr>
            <w:tcW w:w="4675" w:type="dxa"/>
          </w:tcPr>
          <w:p w14:paraId="73BF6948" w14:textId="2555F29E" w:rsidR="006A05FD" w:rsidRDefault="00827910" w:rsidP="00B96054">
            <w:r>
              <w:t>Charles River Laboratories</w:t>
            </w:r>
          </w:p>
        </w:tc>
      </w:tr>
      <w:tr w:rsidR="00827910" w14:paraId="724AABFF" w14:textId="77777777" w:rsidTr="002B3D1A">
        <w:tc>
          <w:tcPr>
            <w:tcW w:w="4675" w:type="dxa"/>
          </w:tcPr>
          <w:p w14:paraId="029CF198" w14:textId="3F89B828" w:rsidR="00827910" w:rsidRDefault="00A674DA" w:rsidP="00B96054">
            <w:r>
              <w:t>Erin Tibbs-Slone</w:t>
            </w:r>
          </w:p>
        </w:tc>
        <w:tc>
          <w:tcPr>
            <w:tcW w:w="4675" w:type="dxa"/>
          </w:tcPr>
          <w:p w14:paraId="59ECF39D" w14:textId="5963009F" w:rsidR="00827910" w:rsidRDefault="00A674DA" w:rsidP="00B96054">
            <w:r>
              <w:t>Charles River Laboratories</w:t>
            </w:r>
          </w:p>
        </w:tc>
      </w:tr>
      <w:tr w:rsidR="00E84E78" w14:paraId="21E96607" w14:textId="77777777" w:rsidTr="002B3D1A">
        <w:tc>
          <w:tcPr>
            <w:tcW w:w="4675" w:type="dxa"/>
          </w:tcPr>
          <w:p w14:paraId="61F283CD" w14:textId="15561A2D" w:rsidR="00E84E78" w:rsidRDefault="00D90C0F" w:rsidP="00B96054">
            <w:r>
              <w:t>Sagar Darekar</w:t>
            </w:r>
          </w:p>
        </w:tc>
        <w:tc>
          <w:tcPr>
            <w:tcW w:w="4675" w:type="dxa"/>
          </w:tcPr>
          <w:p w14:paraId="2FB73141" w14:textId="4297C699" w:rsidR="00E84E78" w:rsidRDefault="00D90C0F" w:rsidP="00B96054">
            <w:proofErr w:type="spellStart"/>
            <w:r>
              <w:t>Instem</w:t>
            </w:r>
            <w:proofErr w:type="spellEnd"/>
          </w:p>
        </w:tc>
      </w:tr>
      <w:tr w:rsidR="00382CBD" w14:paraId="432F8FD6" w14:textId="77777777" w:rsidTr="002B3D1A">
        <w:tc>
          <w:tcPr>
            <w:tcW w:w="4675" w:type="dxa"/>
          </w:tcPr>
          <w:p w14:paraId="6DCA5929" w14:textId="2B57B5B8" w:rsidR="00382CBD" w:rsidRDefault="00382CBD" w:rsidP="00B96054">
            <w:r>
              <w:t>Julie Ann Hood</w:t>
            </w:r>
          </w:p>
        </w:tc>
        <w:tc>
          <w:tcPr>
            <w:tcW w:w="4675" w:type="dxa"/>
          </w:tcPr>
          <w:p w14:paraId="06CB6007" w14:textId="2E17B8CF" w:rsidR="00382CBD" w:rsidRDefault="00382CBD" w:rsidP="00B96054">
            <w:r w:rsidRPr="00382CBD">
              <w:t>Pinnacle 21 by Certara</w:t>
            </w:r>
          </w:p>
        </w:tc>
      </w:tr>
      <w:tr w:rsidR="00D90C0F" w14:paraId="1A1F3D1A" w14:textId="77777777" w:rsidTr="002B3D1A">
        <w:tc>
          <w:tcPr>
            <w:tcW w:w="4675" w:type="dxa"/>
          </w:tcPr>
          <w:p w14:paraId="1C275320" w14:textId="64C97EB9" w:rsidR="00D90C0F" w:rsidRDefault="00D90C0F" w:rsidP="00B96054">
            <w:r>
              <w:t xml:space="preserve">Alexandra Pearce, </w:t>
            </w:r>
            <w:proofErr w:type="spellStart"/>
            <w:r>
              <w:t>PhUSE</w:t>
            </w:r>
            <w:proofErr w:type="spellEnd"/>
            <w:r>
              <w:t xml:space="preserve"> </w:t>
            </w:r>
            <w:r w:rsidR="008B2E14">
              <w:t>liaison</w:t>
            </w:r>
          </w:p>
        </w:tc>
        <w:tc>
          <w:tcPr>
            <w:tcW w:w="4675" w:type="dxa"/>
          </w:tcPr>
          <w:p w14:paraId="2BACAABF" w14:textId="0FE77FC8" w:rsidR="00D90C0F" w:rsidRDefault="00D90C0F" w:rsidP="00B96054">
            <w:proofErr w:type="spellStart"/>
            <w:r>
              <w:t>PhUSE</w:t>
            </w:r>
            <w:proofErr w:type="spellEnd"/>
          </w:p>
        </w:tc>
      </w:tr>
      <w:tr w:rsidR="00FE1E40" w14:paraId="0B4B22F1" w14:textId="77777777" w:rsidTr="002B3D1A">
        <w:tc>
          <w:tcPr>
            <w:tcW w:w="4675" w:type="dxa"/>
            <w:shd w:val="clear" w:color="auto" w:fill="D9D9D9" w:themeFill="background1" w:themeFillShade="D9"/>
          </w:tcPr>
          <w:p w14:paraId="44AE782A" w14:textId="2CDDB6BC" w:rsidR="00FE1E40" w:rsidRDefault="00FE1E40" w:rsidP="00B96054">
            <w:r>
              <w:t>Former members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7444B7C6" w14:textId="77777777" w:rsidR="00FE1E40" w:rsidRDefault="00FE1E40" w:rsidP="00B96054"/>
        </w:tc>
      </w:tr>
      <w:tr w:rsidR="00FE1E40" w14:paraId="5D9F5338" w14:textId="77777777" w:rsidTr="002B3D1A">
        <w:tc>
          <w:tcPr>
            <w:tcW w:w="4675" w:type="dxa"/>
          </w:tcPr>
          <w:p w14:paraId="3DF5D08F" w14:textId="77777777" w:rsidR="00FE1E40" w:rsidRDefault="00FE1E40" w:rsidP="00EC4D72">
            <w:r>
              <w:t>Courtney Turnbaugh, former member</w:t>
            </w:r>
          </w:p>
        </w:tc>
        <w:tc>
          <w:tcPr>
            <w:tcW w:w="4675" w:type="dxa"/>
          </w:tcPr>
          <w:p w14:paraId="1A4ED71E" w14:textId="77777777" w:rsidR="00FE1E40" w:rsidRDefault="00FE1E40" w:rsidP="00EC4D72">
            <w:proofErr w:type="spellStart"/>
            <w:r>
              <w:t>Altasciences</w:t>
            </w:r>
            <w:proofErr w:type="spellEnd"/>
          </w:p>
        </w:tc>
      </w:tr>
      <w:tr w:rsidR="00FE1E40" w14:paraId="15FAC965" w14:textId="77777777" w:rsidTr="002B3D1A">
        <w:tc>
          <w:tcPr>
            <w:tcW w:w="4675" w:type="dxa"/>
          </w:tcPr>
          <w:p w14:paraId="78EE8C20" w14:textId="77777777" w:rsidR="00FE1E40" w:rsidRDefault="00FE1E40" w:rsidP="0009251B">
            <w:r>
              <w:t>David Epstein, former member</w:t>
            </w:r>
          </w:p>
        </w:tc>
        <w:tc>
          <w:tcPr>
            <w:tcW w:w="4675" w:type="dxa"/>
          </w:tcPr>
          <w:p w14:paraId="728290D2" w14:textId="77777777" w:rsidR="00FE1E40" w:rsidRDefault="00FE1E40" w:rsidP="0009251B">
            <w:r>
              <w:t>Formerly FDA</w:t>
            </w:r>
          </w:p>
        </w:tc>
      </w:tr>
      <w:tr w:rsidR="00FE1E40" w14:paraId="20CF0F4A" w14:textId="77777777" w:rsidTr="002B3D1A">
        <w:tc>
          <w:tcPr>
            <w:tcW w:w="4675" w:type="dxa"/>
          </w:tcPr>
          <w:p w14:paraId="71BB35BC" w14:textId="77777777" w:rsidR="00FE1E40" w:rsidRDefault="00FE1E40" w:rsidP="000750BD">
            <w:r>
              <w:t>Katherine Novick, former member</w:t>
            </w:r>
          </w:p>
        </w:tc>
        <w:tc>
          <w:tcPr>
            <w:tcW w:w="4675" w:type="dxa"/>
          </w:tcPr>
          <w:p w14:paraId="360960B0" w14:textId="77777777" w:rsidR="00FE1E40" w:rsidRDefault="00FE1E40" w:rsidP="000750BD">
            <w:proofErr w:type="spellStart"/>
            <w:r>
              <w:t>Inotiv</w:t>
            </w:r>
            <w:proofErr w:type="spellEnd"/>
          </w:p>
        </w:tc>
      </w:tr>
      <w:tr w:rsidR="00FE1E40" w14:paraId="0BA5581A" w14:textId="77777777" w:rsidTr="002B3D1A">
        <w:tc>
          <w:tcPr>
            <w:tcW w:w="4675" w:type="dxa"/>
          </w:tcPr>
          <w:p w14:paraId="428A4B12" w14:textId="77777777" w:rsidR="00FE1E40" w:rsidRDefault="00FE1E40" w:rsidP="000750BD">
            <w:r>
              <w:t>Nicholas Gatto, former member</w:t>
            </w:r>
          </w:p>
        </w:tc>
        <w:tc>
          <w:tcPr>
            <w:tcW w:w="4675" w:type="dxa"/>
          </w:tcPr>
          <w:p w14:paraId="4E6ECC6D" w14:textId="77777777" w:rsidR="00FE1E40" w:rsidRDefault="00FE1E40" w:rsidP="000750BD">
            <w:r>
              <w:t>Merck</w:t>
            </w:r>
          </w:p>
        </w:tc>
      </w:tr>
    </w:tbl>
    <w:p w14:paraId="2989402C" w14:textId="77777777" w:rsidR="00DA5326" w:rsidRDefault="00DA5326" w:rsidP="00DA5326"/>
    <w:p w14:paraId="116FAF47" w14:textId="77777777" w:rsidR="00DA5326" w:rsidRPr="00DA5326" w:rsidRDefault="00DA5326" w:rsidP="00DA5326"/>
    <w:p w14:paraId="04A401BA" w14:textId="77777777" w:rsidR="00DA5326" w:rsidRDefault="00DA5326" w:rsidP="0088557B">
      <w:pPr>
        <w:ind w:left="2160" w:firstLine="720"/>
      </w:pPr>
    </w:p>
    <w:sectPr w:rsidR="00DA5326" w:rsidSect="0088557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628D" w14:textId="77777777" w:rsidR="00BD0260" w:rsidRDefault="00BD0260" w:rsidP="0088557B">
      <w:pPr>
        <w:spacing w:after="0" w:line="240" w:lineRule="auto"/>
      </w:pPr>
      <w:r>
        <w:separator/>
      </w:r>
    </w:p>
  </w:endnote>
  <w:endnote w:type="continuationSeparator" w:id="0">
    <w:p w14:paraId="62003963" w14:textId="77777777" w:rsidR="00BD0260" w:rsidRDefault="00BD0260" w:rsidP="0088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41899"/>
      <w:docPartObj>
        <w:docPartGallery w:val="Page Numbers (Bottom of Page)"/>
        <w:docPartUnique/>
      </w:docPartObj>
    </w:sdtPr>
    <w:sdtContent>
      <w:p w14:paraId="020D8A9B" w14:textId="77777777" w:rsidR="0088557B" w:rsidRDefault="0088557B">
        <w:pPr>
          <w:pStyle w:val="Footer"/>
          <w:jc w:val="right"/>
        </w:pPr>
      </w:p>
      <w:p w14:paraId="5C8AFCC0" w14:textId="77777777" w:rsidR="0088557B" w:rsidRDefault="000F1B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0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0F448B" w14:textId="7181B133" w:rsidR="0088557B" w:rsidRDefault="0088557B" w:rsidP="0088557B">
    <w:pPr>
      <w:spacing w:after="0" w:line="245" w:lineRule="exact"/>
      <w:ind w:left="20" w:right="-53"/>
      <w:rPr>
        <w:rFonts w:ascii="Calibri" w:eastAsia="Calibri" w:hAnsi="Calibri" w:cs="Calibri"/>
      </w:rPr>
    </w:pPr>
    <w:r>
      <w:rPr>
        <w:rFonts w:ascii="Times New Roman" w:eastAsia="Times New Roman" w:hAnsi="Times New Roman" w:cs="Times New Roman"/>
        <w:spacing w:val="-7"/>
        <w:position w:val="1"/>
      </w:rPr>
      <w:t>{Insert Project Name}</w:t>
    </w:r>
    <w:r>
      <w:rPr>
        <w:rFonts w:ascii="Times New Roman" w:eastAsia="Times New Roman" w:hAnsi="Times New Roman" w:cs="Times New Roman"/>
        <w:spacing w:val="-4"/>
        <w:position w:val="1"/>
      </w:rPr>
      <w:t xml:space="preserve"> </w:t>
    </w:r>
  </w:p>
  <w:p w14:paraId="73C55D76" w14:textId="77777777" w:rsidR="0088557B" w:rsidRDefault="00885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7FF5D" w14:textId="77777777" w:rsidR="00BD0260" w:rsidRDefault="00BD0260" w:rsidP="0088557B">
      <w:pPr>
        <w:spacing w:after="0" w:line="240" w:lineRule="auto"/>
      </w:pPr>
      <w:r>
        <w:separator/>
      </w:r>
    </w:p>
  </w:footnote>
  <w:footnote w:type="continuationSeparator" w:id="0">
    <w:p w14:paraId="7257431F" w14:textId="77777777" w:rsidR="00BD0260" w:rsidRDefault="00BD0260" w:rsidP="00885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Ind w:w="58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41"/>
      <w:gridCol w:w="5799"/>
      <w:gridCol w:w="2124"/>
    </w:tblGrid>
    <w:tr w:rsidR="0088557B" w14:paraId="76B6C8A1" w14:textId="77777777" w:rsidTr="00A16FE0">
      <w:trPr>
        <w:trHeight w:hRule="exact" w:val="1286"/>
      </w:trPr>
      <w:tc>
        <w:tcPr>
          <w:tcW w:w="1541" w:type="dxa"/>
        </w:tcPr>
        <w:p w14:paraId="4EDAD78D" w14:textId="34A04455" w:rsidR="0088557B" w:rsidRDefault="00A16FE0" w:rsidP="0041543F">
          <w:pPr>
            <w:spacing w:before="71" w:after="0" w:line="240" w:lineRule="auto"/>
            <w:ind w:left="102" w:right="-2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36A3631" wp14:editId="39903648">
                <wp:extent cx="837282" cy="69405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#20681 PHUSE Logo June 2019 RGB FINAL (2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3913" cy="699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9" w:type="dxa"/>
        </w:tcPr>
        <w:p w14:paraId="3C8C1C82" w14:textId="162AB1D9" w:rsidR="0088557B" w:rsidRDefault="00CF5373" w:rsidP="0041543F">
          <w:pPr>
            <w:tabs>
              <w:tab w:val="left" w:pos="1520"/>
            </w:tabs>
            <w:spacing w:after="0" w:line="264" w:lineRule="exact"/>
            <w:ind w:left="100" w:right="-20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pacing w:val="1"/>
              <w:position w:val="1"/>
            </w:rPr>
            <w:t>DOC.ID</w:t>
          </w:r>
          <w:r w:rsidR="0088557B">
            <w:rPr>
              <w:rFonts w:ascii="Calibri" w:eastAsia="Calibri" w:hAnsi="Calibri" w:cs="Calibri"/>
              <w:position w:val="1"/>
            </w:rPr>
            <w:t>:</w:t>
          </w:r>
          <w:r w:rsidR="0088557B">
            <w:rPr>
              <w:rFonts w:ascii="Times New Roman" w:eastAsia="Times New Roman" w:hAnsi="Times New Roman" w:cs="Times New Roman"/>
              <w:position w:val="1"/>
            </w:rPr>
            <w:tab/>
          </w:r>
          <w:r w:rsidR="005C65DE">
            <w:rPr>
              <w:rFonts w:ascii="Times New Roman" w:eastAsia="Times New Roman" w:hAnsi="Times New Roman" w:cs="Times New Roman"/>
              <w:i/>
              <w:position w:val="1"/>
            </w:rPr>
            <w:t>WP-118</w:t>
          </w:r>
        </w:p>
        <w:p w14:paraId="662E6A5C" w14:textId="7F6E9FC1" w:rsidR="0088557B" w:rsidRDefault="00CF5373" w:rsidP="0041543F">
          <w:pPr>
            <w:tabs>
              <w:tab w:val="left" w:pos="1520"/>
            </w:tabs>
            <w:spacing w:after="0" w:line="264" w:lineRule="exact"/>
            <w:ind w:left="100" w:right="-20"/>
            <w:rPr>
              <w:rFonts w:ascii="Times New Roman" w:eastAsia="Times New Roman" w:hAnsi="Times New Roman" w:cs="Times New Roman"/>
              <w:i/>
              <w:position w:val="1"/>
            </w:rPr>
          </w:pPr>
          <w:r>
            <w:rPr>
              <w:rFonts w:ascii="Calibri" w:eastAsia="Calibri" w:hAnsi="Calibri" w:cs="Calibri"/>
              <w:spacing w:val="1"/>
            </w:rPr>
            <w:t>Version</w:t>
          </w:r>
          <w:r w:rsidR="0088557B">
            <w:rPr>
              <w:rFonts w:ascii="Calibri" w:eastAsia="Calibri" w:hAnsi="Calibri" w:cs="Calibri"/>
            </w:rPr>
            <w:t>:</w:t>
          </w:r>
          <w:r w:rsidR="0088557B">
            <w:rPr>
              <w:rFonts w:ascii="Times New Roman" w:eastAsia="Times New Roman" w:hAnsi="Times New Roman" w:cs="Times New Roman"/>
            </w:rPr>
            <w:tab/>
          </w:r>
          <w:r w:rsidR="005C65DE">
            <w:rPr>
              <w:rFonts w:ascii="Times New Roman" w:eastAsia="Times New Roman" w:hAnsi="Times New Roman" w:cs="Times New Roman"/>
              <w:i/>
              <w:position w:val="1"/>
            </w:rPr>
            <w:t>V1</w:t>
          </w:r>
        </w:p>
        <w:p w14:paraId="7E9BB203" w14:textId="67C410A5" w:rsidR="00681863" w:rsidRPr="00681863" w:rsidRDefault="00681863" w:rsidP="0041543F">
          <w:pPr>
            <w:tabs>
              <w:tab w:val="left" w:pos="1520"/>
            </w:tabs>
            <w:spacing w:after="0" w:line="264" w:lineRule="exact"/>
            <w:ind w:left="100" w:right="-20"/>
            <w:rPr>
              <w:rFonts w:eastAsia="Calibri" w:cstheme="minorHAnsi"/>
              <w:iCs/>
            </w:rPr>
          </w:pPr>
          <w:r w:rsidRPr="00681863">
            <w:rPr>
              <w:rFonts w:eastAsia="Times New Roman" w:cstheme="minorHAnsi"/>
              <w:iCs/>
              <w:position w:val="1"/>
            </w:rPr>
            <w:t xml:space="preserve">Date: </w:t>
          </w:r>
          <w:r w:rsidR="005C65DE">
            <w:rPr>
              <w:rFonts w:eastAsia="Times New Roman" w:cstheme="minorHAnsi"/>
              <w:iCs/>
              <w:position w:val="1"/>
            </w:rPr>
            <w:t xml:space="preserve">                 22/04/26</w:t>
          </w:r>
        </w:p>
        <w:p w14:paraId="1DB34209" w14:textId="77777777" w:rsidR="0088557B" w:rsidRDefault="0088557B" w:rsidP="0041543F">
          <w:pPr>
            <w:tabs>
              <w:tab w:val="left" w:pos="1520"/>
            </w:tabs>
            <w:spacing w:after="0" w:line="240" w:lineRule="auto"/>
            <w:ind w:left="100" w:right="-20"/>
            <w:rPr>
              <w:rFonts w:ascii="Calibri" w:eastAsia="Calibri" w:hAnsi="Calibri" w:cs="Calibri"/>
            </w:rPr>
          </w:pPr>
        </w:p>
      </w:tc>
      <w:tc>
        <w:tcPr>
          <w:tcW w:w="2124" w:type="dxa"/>
        </w:tcPr>
        <w:p w14:paraId="00F91B5B" w14:textId="77777777" w:rsidR="0088557B" w:rsidRDefault="0088557B" w:rsidP="0041543F">
          <w:pPr>
            <w:spacing w:before="4" w:after="0" w:line="200" w:lineRule="exact"/>
            <w:rPr>
              <w:sz w:val="20"/>
              <w:szCs w:val="20"/>
            </w:rPr>
          </w:pPr>
        </w:p>
        <w:p w14:paraId="6F9B1B7E" w14:textId="77777777" w:rsidR="0088557B" w:rsidRDefault="0088557B" w:rsidP="0041543F">
          <w:pPr>
            <w:spacing w:after="0" w:line="242" w:lineRule="exact"/>
            <w:ind w:left="97" w:right="73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Calibri" w:eastAsia="Calibri" w:hAnsi="Calibri" w:cs="Calibri"/>
              <w:spacing w:val="1"/>
              <w:sz w:val="20"/>
              <w:szCs w:val="20"/>
            </w:rPr>
            <w:t>Wo</w:t>
          </w:r>
          <w:r>
            <w:rPr>
              <w:rFonts w:ascii="Calibri" w:eastAsia="Calibri" w:hAnsi="Calibri" w:cs="Calibri"/>
              <w:spacing w:val="-1"/>
              <w:sz w:val="20"/>
              <w:szCs w:val="20"/>
            </w:rPr>
            <w:t>r</w:t>
          </w:r>
          <w:r>
            <w:rPr>
              <w:rFonts w:ascii="Calibri" w:eastAsia="Calibri" w:hAnsi="Calibri" w:cs="Calibri"/>
              <w:spacing w:val="1"/>
              <w:sz w:val="20"/>
              <w:szCs w:val="20"/>
            </w:rPr>
            <w:t>k</w:t>
          </w:r>
          <w:r>
            <w:rPr>
              <w:rFonts w:ascii="Calibri" w:eastAsia="Calibri" w:hAnsi="Calibri" w:cs="Calibri"/>
              <w:sz w:val="20"/>
              <w:szCs w:val="20"/>
            </w:rPr>
            <w:t>i</w:t>
          </w:r>
          <w:r>
            <w:rPr>
              <w:rFonts w:ascii="Calibri" w:eastAsia="Calibri" w:hAnsi="Calibri" w:cs="Calibri"/>
              <w:spacing w:val="1"/>
              <w:sz w:val="20"/>
              <w:szCs w:val="20"/>
            </w:rPr>
            <w:t>n</w:t>
          </w:r>
          <w:r>
            <w:rPr>
              <w:rFonts w:ascii="Calibri" w:eastAsia="Calibri" w:hAnsi="Calibri" w:cs="Calibri"/>
              <w:sz w:val="20"/>
              <w:szCs w:val="20"/>
            </w:rPr>
            <w:t>g</w:t>
          </w:r>
          <w:r>
            <w:rPr>
              <w:rFonts w:ascii="Times New Roman" w:eastAsia="Times New Roman" w:hAnsi="Times New Roman" w:cs="Times New Roman"/>
              <w:spacing w:val="-8"/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spacing w:val="-1"/>
              <w:sz w:val="20"/>
              <w:szCs w:val="20"/>
            </w:rPr>
            <w:t>Gr</w:t>
          </w:r>
          <w:r>
            <w:rPr>
              <w:rFonts w:ascii="Calibri" w:eastAsia="Calibri" w:hAnsi="Calibri" w:cs="Calibri"/>
              <w:spacing w:val="1"/>
              <w:sz w:val="20"/>
              <w:szCs w:val="20"/>
            </w:rPr>
            <w:t>oup</w:t>
          </w:r>
          <w:r>
            <w:rPr>
              <w:rFonts w:ascii="Calibri" w:eastAsia="Calibri" w:hAnsi="Calibri" w:cs="Calibri"/>
              <w:sz w:val="20"/>
              <w:szCs w:val="20"/>
            </w:rPr>
            <w:t>: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</w:p>
        <w:p w14:paraId="2C7A9BC6" w14:textId="77777777" w:rsidR="0088557B" w:rsidRPr="006670B3" w:rsidRDefault="0088557B" w:rsidP="0041543F">
          <w:pPr>
            <w:spacing w:after="0" w:line="242" w:lineRule="exact"/>
            <w:ind w:left="97" w:right="73"/>
            <w:rPr>
              <w:rFonts w:ascii="Calibri" w:eastAsia="Calibri" w:hAnsi="Calibri" w:cs="Calibri"/>
              <w:i/>
              <w:sz w:val="20"/>
              <w:szCs w:val="20"/>
            </w:rPr>
          </w:pPr>
          <w:r w:rsidRPr="006670B3">
            <w:rPr>
              <w:rFonts w:ascii="Calibri" w:eastAsia="Calibri" w:hAnsi="Calibri" w:cs="Calibri"/>
              <w:i/>
              <w:spacing w:val="1"/>
              <w:sz w:val="20"/>
              <w:szCs w:val="20"/>
            </w:rPr>
            <w:t xml:space="preserve">{insert </w:t>
          </w:r>
          <w:r>
            <w:rPr>
              <w:rFonts w:ascii="Calibri" w:eastAsia="Calibri" w:hAnsi="Calibri" w:cs="Calibri"/>
              <w:i/>
              <w:spacing w:val="1"/>
              <w:sz w:val="20"/>
              <w:szCs w:val="20"/>
            </w:rPr>
            <w:t>W</w:t>
          </w:r>
          <w:r w:rsidRPr="006670B3">
            <w:rPr>
              <w:rFonts w:ascii="Calibri" w:eastAsia="Calibri" w:hAnsi="Calibri" w:cs="Calibri"/>
              <w:i/>
              <w:spacing w:val="1"/>
              <w:sz w:val="20"/>
              <w:szCs w:val="20"/>
            </w:rPr>
            <w:t xml:space="preserve">orking </w:t>
          </w:r>
          <w:r>
            <w:rPr>
              <w:rFonts w:ascii="Calibri" w:eastAsia="Calibri" w:hAnsi="Calibri" w:cs="Calibri"/>
              <w:i/>
              <w:spacing w:val="1"/>
              <w:sz w:val="20"/>
              <w:szCs w:val="20"/>
            </w:rPr>
            <w:t>Group N</w:t>
          </w:r>
          <w:r w:rsidRPr="006670B3">
            <w:rPr>
              <w:rFonts w:ascii="Calibri" w:eastAsia="Calibri" w:hAnsi="Calibri" w:cs="Calibri"/>
              <w:i/>
              <w:spacing w:val="1"/>
              <w:sz w:val="20"/>
              <w:szCs w:val="20"/>
            </w:rPr>
            <w:t>ame}</w:t>
          </w:r>
        </w:p>
      </w:tc>
    </w:tr>
  </w:tbl>
  <w:p w14:paraId="5D3BB030" w14:textId="77777777" w:rsidR="0088557B" w:rsidRDefault="008855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0A95"/>
    <w:multiLevelType w:val="hybridMultilevel"/>
    <w:tmpl w:val="FF82CF08"/>
    <w:lvl w:ilvl="0" w:tplc="CD3C26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160C7"/>
    <w:multiLevelType w:val="hybridMultilevel"/>
    <w:tmpl w:val="E29ABC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3537A"/>
    <w:multiLevelType w:val="hybridMultilevel"/>
    <w:tmpl w:val="680ABA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863E7"/>
    <w:multiLevelType w:val="hybridMultilevel"/>
    <w:tmpl w:val="D1DA2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9217E"/>
    <w:multiLevelType w:val="hybridMultilevel"/>
    <w:tmpl w:val="1B34EA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932293">
    <w:abstractNumId w:val="3"/>
  </w:num>
  <w:num w:numId="2" w16cid:durableId="206991341">
    <w:abstractNumId w:val="1"/>
  </w:num>
  <w:num w:numId="3" w16cid:durableId="2024162320">
    <w:abstractNumId w:val="2"/>
  </w:num>
  <w:num w:numId="4" w16cid:durableId="2073042468">
    <w:abstractNumId w:val="4"/>
  </w:num>
  <w:num w:numId="5" w16cid:durableId="199047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7B"/>
    <w:rsid w:val="0000390F"/>
    <w:rsid w:val="00004BC4"/>
    <w:rsid w:val="00010D39"/>
    <w:rsid w:val="000201A7"/>
    <w:rsid w:val="00036EDA"/>
    <w:rsid w:val="00053F3F"/>
    <w:rsid w:val="000613C7"/>
    <w:rsid w:val="00061B6F"/>
    <w:rsid w:val="000820CB"/>
    <w:rsid w:val="00094712"/>
    <w:rsid w:val="000C3718"/>
    <w:rsid w:val="000C62B0"/>
    <w:rsid w:val="000D3E33"/>
    <w:rsid w:val="000E3FB9"/>
    <w:rsid w:val="000F1BD2"/>
    <w:rsid w:val="000F53A5"/>
    <w:rsid w:val="000F6AFC"/>
    <w:rsid w:val="00105DC8"/>
    <w:rsid w:val="00113F8F"/>
    <w:rsid w:val="0011435C"/>
    <w:rsid w:val="00122F0F"/>
    <w:rsid w:val="001416D0"/>
    <w:rsid w:val="001424C6"/>
    <w:rsid w:val="00150459"/>
    <w:rsid w:val="00152DBB"/>
    <w:rsid w:val="0015334A"/>
    <w:rsid w:val="00153DF7"/>
    <w:rsid w:val="00156C1A"/>
    <w:rsid w:val="00171CC4"/>
    <w:rsid w:val="00176E2F"/>
    <w:rsid w:val="001A1AC2"/>
    <w:rsid w:val="001B5BB0"/>
    <w:rsid w:val="001B672E"/>
    <w:rsid w:val="001C4142"/>
    <w:rsid w:val="001C64BC"/>
    <w:rsid w:val="001C7D79"/>
    <w:rsid w:val="001D0CFD"/>
    <w:rsid w:val="001D1A6A"/>
    <w:rsid w:val="001D2362"/>
    <w:rsid w:val="001E424D"/>
    <w:rsid w:val="001E4F5E"/>
    <w:rsid w:val="001F3CDB"/>
    <w:rsid w:val="00210B4F"/>
    <w:rsid w:val="0022685C"/>
    <w:rsid w:val="0023297E"/>
    <w:rsid w:val="00232DF2"/>
    <w:rsid w:val="00233EA7"/>
    <w:rsid w:val="00245500"/>
    <w:rsid w:val="00252369"/>
    <w:rsid w:val="002639C4"/>
    <w:rsid w:val="002650E0"/>
    <w:rsid w:val="00266909"/>
    <w:rsid w:val="00271F89"/>
    <w:rsid w:val="002737B5"/>
    <w:rsid w:val="0028538E"/>
    <w:rsid w:val="00287A18"/>
    <w:rsid w:val="002A0DF3"/>
    <w:rsid w:val="002B3D1A"/>
    <w:rsid w:val="002C1A3F"/>
    <w:rsid w:val="002C7D37"/>
    <w:rsid w:val="002D0153"/>
    <w:rsid w:val="00303464"/>
    <w:rsid w:val="00342DA7"/>
    <w:rsid w:val="00372139"/>
    <w:rsid w:val="00374745"/>
    <w:rsid w:val="00376672"/>
    <w:rsid w:val="00381F05"/>
    <w:rsid w:val="00382CBD"/>
    <w:rsid w:val="0039336D"/>
    <w:rsid w:val="003A1967"/>
    <w:rsid w:val="003C3A47"/>
    <w:rsid w:val="003C58C5"/>
    <w:rsid w:val="003C59E2"/>
    <w:rsid w:val="003D60CE"/>
    <w:rsid w:val="003D72B9"/>
    <w:rsid w:val="003D77EC"/>
    <w:rsid w:val="003E1EE0"/>
    <w:rsid w:val="003E666A"/>
    <w:rsid w:val="00403AA2"/>
    <w:rsid w:val="00411FE0"/>
    <w:rsid w:val="0045183E"/>
    <w:rsid w:val="00464C97"/>
    <w:rsid w:val="00467F52"/>
    <w:rsid w:val="00473EB8"/>
    <w:rsid w:val="004821DF"/>
    <w:rsid w:val="00485982"/>
    <w:rsid w:val="00494094"/>
    <w:rsid w:val="00496832"/>
    <w:rsid w:val="004D6461"/>
    <w:rsid w:val="004E5A19"/>
    <w:rsid w:val="004F36F8"/>
    <w:rsid w:val="004F4041"/>
    <w:rsid w:val="00502C3E"/>
    <w:rsid w:val="00505401"/>
    <w:rsid w:val="00505526"/>
    <w:rsid w:val="00506387"/>
    <w:rsid w:val="00523EBA"/>
    <w:rsid w:val="00525F0B"/>
    <w:rsid w:val="00527C03"/>
    <w:rsid w:val="00527ED9"/>
    <w:rsid w:val="00530127"/>
    <w:rsid w:val="005336AF"/>
    <w:rsid w:val="00540F28"/>
    <w:rsid w:val="00543AF0"/>
    <w:rsid w:val="0055348B"/>
    <w:rsid w:val="005569F8"/>
    <w:rsid w:val="005640F7"/>
    <w:rsid w:val="00566022"/>
    <w:rsid w:val="005723B4"/>
    <w:rsid w:val="00575750"/>
    <w:rsid w:val="00583E04"/>
    <w:rsid w:val="005A0E4F"/>
    <w:rsid w:val="005B2115"/>
    <w:rsid w:val="005C65DE"/>
    <w:rsid w:val="005E23D1"/>
    <w:rsid w:val="005F1BCA"/>
    <w:rsid w:val="005F4813"/>
    <w:rsid w:val="00600644"/>
    <w:rsid w:val="0062657C"/>
    <w:rsid w:val="006277A5"/>
    <w:rsid w:val="00635F3D"/>
    <w:rsid w:val="006365D5"/>
    <w:rsid w:val="00643A9E"/>
    <w:rsid w:val="00657FA2"/>
    <w:rsid w:val="00662A74"/>
    <w:rsid w:val="00663A25"/>
    <w:rsid w:val="00663CAD"/>
    <w:rsid w:val="00680AC0"/>
    <w:rsid w:val="00681863"/>
    <w:rsid w:val="00684DB3"/>
    <w:rsid w:val="006903BC"/>
    <w:rsid w:val="006A05FD"/>
    <w:rsid w:val="006A5A13"/>
    <w:rsid w:val="006A6C7F"/>
    <w:rsid w:val="006B0F27"/>
    <w:rsid w:val="006B39EE"/>
    <w:rsid w:val="006C0AB2"/>
    <w:rsid w:val="006E2A6A"/>
    <w:rsid w:val="006F593E"/>
    <w:rsid w:val="00702028"/>
    <w:rsid w:val="0070533A"/>
    <w:rsid w:val="00711903"/>
    <w:rsid w:val="00744BDC"/>
    <w:rsid w:val="00750DDF"/>
    <w:rsid w:val="00753A81"/>
    <w:rsid w:val="00754804"/>
    <w:rsid w:val="007631E2"/>
    <w:rsid w:val="00785B2C"/>
    <w:rsid w:val="0079207E"/>
    <w:rsid w:val="007926D3"/>
    <w:rsid w:val="00792EB1"/>
    <w:rsid w:val="007B4C97"/>
    <w:rsid w:val="007D343C"/>
    <w:rsid w:val="00800886"/>
    <w:rsid w:val="008019FC"/>
    <w:rsid w:val="00817B1D"/>
    <w:rsid w:val="00820EF9"/>
    <w:rsid w:val="008224C9"/>
    <w:rsid w:val="0082461E"/>
    <w:rsid w:val="00827910"/>
    <w:rsid w:val="00840B8B"/>
    <w:rsid w:val="00842D71"/>
    <w:rsid w:val="00863BDF"/>
    <w:rsid w:val="00865EC1"/>
    <w:rsid w:val="008826FA"/>
    <w:rsid w:val="0088557B"/>
    <w:rsid w:val="008B11B1"/>
    <w:rsid w:val="008B2E14"/>
    <w:rsid w:val="008B585F"/>
    <w:rsid w:val="008D4848"/>
    <w:rsid w:val="008E4577"/>
    <w:rsid w:val="008E458A"/>
    <w:rsid w:val="008E6624"/>
    <w:rsid w:val="008F4DC7"/>
    <w:rsid w:val="00903E2C"/>
    <w:rsid w:val="00915ADF"/>
    <w:rsid w:val="009162DA"/>
    <w:rsid w:val="00923199"/>
    <w:rsid w:val="00926E6E"/>
    <w:rsid w:val="00932826"/>
    <w:rsid w:val="00940DE5"/>
    <w:rsid w:val="00955E1F"/>
    <w:rsid w:val="0097080B"/>
    <w:rsid w:val="00972E87"/>
    <w:rsid w:val="00975B48"/>
    <w:rsid w:val="009812FB"/>
    <w:rsid w:val="00982C12"/>
    <w:rsid w:val="00982F45"/>
    <w:rsid w:val="009A18BB"/>
    <w:rsid w:val="009A2251"/>
    <w:rsid w:val="009C4AF6"/>
    <w:rsid w:val="009D14F3"/>
    <w:rsid w:val="009D2EE4"/>
    <w:rsid w:val="009D6FF8"/>
    <w:rsid w:val="009E2066"/>
    <w:rsid w:val="009E57DD"/>
    <w:rsid w:val="009F7703"/>
    <w:rsid w:val="00A16FE0"/>
    <w:rsid w:val="00A32BF8"/>
    <w:rsid w:val="00A51BCF"/>
    <w:rsid w:val="00A53797"/>
    <w:rsid w:val="00A66E29"/>
    <w:rsid w:val="00A674DA"/>
    <w:rsid w:val="00A96B8B"/>
    <w:rsid w:val="00AA54F8"/>
    <w:rsid w:val="00AB18D5"/>
    <w:rsid w:val="00AB430B"/>
    <w:rsid w:val="00AD6E86"/>
    <w:rsid w:val="00AE506E"/>
    <w:rsid w:val="00B00E49"/>
    <w:rsid w:val="00B02751"/>
    <w:rsid w:val="00B06C6C"/>
    <w:rsid w:val="00B071E2"/>
    <w:rsid w:val="00B16112"/>
    <w:rsid w:val="00B1717A"/>
    <w:rsid w:val="00B25C43"/>
    <w:rsid w:val="00B468F4"/>
    <w:rsid w:val="00B47A0E"/>
    <w:rsid w:val="00B65BEB"/>
    <w:rsid w:val="00B70E2A"/>
    <w:rsid w:val="00B96054"/>
    <w:rsid w:val="00BB5DBB"/>
    <w:rsid w:val="00BD0260"/>
    <w:rsid w:val="00BD364B"/>
    <w:rsid w:val="00BE1745"/>
    <w:rsid w:val="00BF4166"/>
    <w:rsid w:val="00BF4307"/>
    <w:rsid w:val="00C00DD5"/>
    <w:rsid w:val="00C33B18"/>
    <w:rsid w:val="00C3679C"/>
    <w:rsid w:val="00C421B5"/>
    <w:rsid w:val="00C46B93"/>
    <w:rsid w:val="00C47041"/>
    <w:rsid w:val="00C6583F"/>
    <w:rsid w:val="00C7245D"/>
    <w:rsid w:val="00C73FD3"/>
    <w:rsid w:val="00C764D5"/>
    <w:rsid w:val="00C80EFF"/>
    <w:rsid w:val="00C83AE6"/>
    <w:rsid w:val="00C83C92"/>
    <w:rsid w:val="00C9671C"/>
    <w:rsid w:val="00CA6D50"/>
    <w:rsid w:val="00CB07FF"/>
    <w:rsid w:val="00CB09BD"/>
    <w:rsid w:val="00CC1866"/>
    <w:rsid w:val="00CC232D"/>
    <w:rsid w:val="00CD5223"/>
    <w:rsid w:val="00CD6862"/>
    <w:rsid w:val="00CF32A5"/>
    <w:rsid w:val="00CF5373"/>
    <w:rsid w:val="00D02681"/>
    <w:rsid w:val="00D24FFD"/>
    <w:rsid w:val="00D27FF0"/>
    <w:rsid w:val="00D30FEB"/>
    <w:rsid w:val="00D545B0"/>
    <w:rsid w:val="00D6361D"/>
    <w:rsid w:val="00D73C56"/>
    <w:rsid w:val="00D8083D"/>
    <w:rsid w:val="00D90C0F"/>
    <w:rsid w:val="00D90EAF"/>
    <w:rsid w:val="00D96F2E"/>
    <w:rsid w:val="00DA0B32"/>
    <w:rsid w:val="00DA2BCA"/>
    <w:rsid w:val="00DA5326"/>
    <w:rsid w:val="00DC3909"/>
    <w:rsid w:val="00DE561A"/>
    <w:rsid w:val="00E0378D"/>
    <w:rsid w:val="00E249B4"/>
    <w:rsid w:val="00E30743"/>
    <w:rsid w:val="00E34EC4"/>
    <w:rsid w:val="00E51B41"/>
    <w:rsid w:val="00E80231"/>
    <w:rsid w:val="00E84E78"/>
    <w:rsid w:val="00E95A99"/>
    <w:rsid w:val="00EC55A9"/>
    <w:rsid w:val="00EC785B"/>
    <w:rsid w:val="00ED2B19"/>
    <w:rsid w:val="00ED3FA6"/>
    <w:rsid w:val="00EE0B79"/>
    <w:rsid w:val="00EE2F38"/>
    <w:rsid w:val="00EE36B5"/>
    <w:rsid w:val="00EE7ADC"/>
    <w:rsid w:val="00F021B7"/>
    <w:rsid w:val="00F04323"/>
    <w:rsid w:val="00F10630"/>
    <w:rsid w:val="00F25021"/>
    <w:rsid w:val="00F2638E"/>
    <w:rsid w:val="00F2707D"/>
    <w:rsid w:val="00F30B8D"/>
    <w:rsid w:val="00F32026"/>
    <w:rsid w:val="00F32820"/>
    <w:rsid w:val="00F3574D"/>
    <w:rsid w:val="00F44B37"/>
    <w:rsid w:val="00F56B38"/>
    <w:rsid w:val="00F56C64"/>
    <w:rsid w:val="00F67FF0"/>
    <w:rsid w:val="00F73933"/>
    <w:rsid w:val="00F8204E"/>
    <w:rsid w:val="00F8266B"/>
    <w:rsid w:val="00F82E6E"/>
    <w:rsid w:val="00F85E41"/>
    <w:rsid w:val="00F87C5B"/>
    <w:rsid w:val="00F9081A"/>
    <w:rsid w:val="00FA51CA"/>
    <w:rsid w:val="00FA531D"/>
    <w:rsid w:val="00FA79D7"/>
    <w:rsid w:val="00FE1E40"/>
    <w:rsid w:val="00FE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7FC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8557B"/>
    <w:pPr>
      <w:widowControl w:val="0"/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A53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57B"/>
  </w:style>
  <w:style w:type="paragraph" w:styleId="Footer">
    <w:name w:val="footer"/>
    <w:basedOn w:val="Normal"/>
    <w:link w:val="FooterChar"/>
    <w:uiPriority w:val="99"/>
    <w:unhideWhenUsed/>
    <w:rsid w:val="00885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57B"/>
  </w:style>
  <w:style w:type="paragraph" w:styleId="BalloonText">
    <w:name w:val="Balloon Text"/>
    <w:basedOn w:val="Normal"/>
    <w:link w:val="BalloonTextChar"/>
    <w:uiPriority w:val="99"/>
    <w:semiHidden/>
    <w:unhideWhenUsed/>
    <w:rsid w:val="008855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57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A53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DA5326"/>
    <w:pPr>
      <w:widowControl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A532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A53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0B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6C1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523EBA"/>
    <w:pPr>
      <w:widowControl/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CA"/>
    </w:rPr>
  </w:style>
  <w:style w:type="character" w:customStyle="1" w:styleId="BodyText3Char">
    <w:name w:val="Body Text 3 Char"/>
    <w:basedOn w:val="DefaultParagraphFont"/>
    <w:link w:val="BodyText3"/>
    <w:rsid w:val="00523EBA"/>
    <w:rPr>
      <w:rFonts w:ascii="Arial" w:eastAsia="Times New Roman" w:hAnsi="Arial" w:cs="Times New Roman"/>
      <w:noProof/>
      <w:sz w:val="20"/>
      <w:szCs w:val="20"/>
      <w:lang w:val="en-CA"/>
    </w:rPr>
  </w:style>
  <w:style w:type="table" w:styleId="TableGrid">
    <w:name w:val="Table Grid"/>
    <w:basedOn w:val="TableNormal"/>
    <w:uiPriority w:val="59"/>
    <w:rsid w:val="00E249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2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C816BA181704A935AA4F641B434EF" ma:contentTypeVersion="7" ma:contentTypeDescription="Create a new document." ma:contentTypeScope="" ma:versionID="15b43ea612c70d7d05c46fa284e35de0">
  <xsd:schema xmlns:xsd="http://www.w3.org/2001/XMLSchema" xmlns:xs="http://www.w3.org/2001/XMLSchema" xmlns:p="http://schemas.microsoft.com/office/2006/metadata/properties" xmlns:ns2="295fa7c1-690e-45b2-a79a-b7745055c857" targetNamespace="http://schemas.microsoft.com/office/2006/metadata/properties" ma:root="true" ma:fieldsID="0117991bc845b8a4e54330fa1581a79b" ns2:_="">
    <xsd:import namespace="295fa7c1-690e-45b2-a79a-b7745055c8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fa7c1-690e-45b2-a79a-b7745055c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956862-4DBA-4CBB-9E24-D40540D12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3CC69E-0E4B-41D9-B1EF-2A16615684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C6DC5E-A08B-FF43-A4C6-19FF150FBD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1469A3-E41F-468E-84E8-F79D4B5A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fa7c1-690e-45b2-a79a-b7745055c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1716</Words>
  <Characters>10076</Characters>
  <Application>Microsoft Office Word</Application>
  <DocSecurity>0</DocSecurity>
  <Lines>258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Celgene</Company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Alexandra Pearce</cp:lastModifiedBy>
  <cp:revision>2</cp:revision>
  <dcterms:created xsi:type="dcterms:W3CDTF">2026-04-22T15:07:00Z</dcterms:created>
  <dcterms:modified xsi:type="dcterms:W3CDTF">2026-04-22T15:07:00Z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0x010100151C816BA181704A935AA4F641B434EF</vt:lpwstr>
  </property>
  <property fmtid="{D5CDD505-2E9C-101B-9397-08002B2CF9AE}" pid="3" name="GrammarlyDocumentId">
    <vt:lpwstr>7f1a39f11e5ce348a55147f156fadc3a870b4e77768ce9430efe2d13537b0d64</vt:lpwstr>
  </property>
</Properties>
</file>