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2B0239" w14:textId="77777777" w:rsidR="00010D39" w:rsidRDefault="00010D39">
      <w:pPr>
        <w:rPr>
          <w:rFonts w:cstheme="minorHAnsi"/>
        </w:rPr>
      </w:pPr>
    </w:p>
    <w:p w14:paraId="5F3F8687" w14:textId="77777777" w:rsidR="00703C24" w:rsidRPr="00E120ED" w:rsidRDefault="00703C24">
      <w:pPr>
        <w:rPr>
          <w:rFonts w:cstheme="minorHAnsi"/>
        </w:rPr>
      </w:pPr>
    </w:p>
    <w:p w14:paraId="350129C9" w14:textId="77777777" w:rsidR="0088557B" w:rsidRPr="0027399F" w:rsidRDefault="0088557B">
      <w:pPr>
        <w:rPr>
          <w:rFonts w:cstheme="minorHAnsi"/>
        </w:rPr>
      </w:pPr>
    </w:p>
    <w:p w14:paraId="08ACDF23" w14:textId="77777777" w:rsidR="0088557B" w:rsidRPr="0027399F" w:rsidRDefault="0088557B">
      <w:pPr>
        <w:rPr>
          <w:rFonts w:cstheme="minorHAnsi"/>
        </w:rPr>
      </w:pPr>
    </w:p>
    <w:p w14:paraId="6AF8F065" w14:textId="77777777" w:rsidR="0088557B" w:rsidRPr="0027399F" w:rsidRDefault="0088557B">
      <w:pPr>
        <w:rPr>
          <w:rFonts w:cstheme="minorHAnsi"/>
        </w:rPr>
      </w:pPr>
    </w:p>
    <w:p w14:paraId="7CED0065" w14:textId="77777777" w:rsidR="0088557B" w:rsidRPr="0027399F" w:rsidRDefault="0088557B" w:rsidP="0088557B">
      <w:pPr>
        <w:spacing w:before="120" w:after="0" w:line="110" w:lineRule="exact"/>
        <w:rPr>
          <w:rFonts w:cstheme="minorHAnsi"/>
          <w:sz w:val="11"/>
          <w:szCs w:val="11"/>
        </w:rPr>
      </w:pPr>
    </w:p>
    <w:p w14:paraId="6087D202" w14:textId="42E401F9" w:rsidR="00B47A0E" w:rsidRPr="0027399F" w:rsidRDefault="00B47A0E" w:rsidP="00B47A0E">
      <w:pPr>
        <w:tabs>
          <w:tab w:val="left" w:pos="1520"/>
        </w:tabs>
        <w:spacing w:before="120" w:after="0" w:line="264" w:lineRule="exact"/>
        <w:ind w:left="101" w:right="-14"/>
        <w:jc w:val="center"/>
        <w:rPr>
          <w:rFonts w:eastAsia="Times New Roman" w:cstheme="minorHAnsi"/>
          <w:i/>
          <w:position w:val="1"/>
          <w:sz w:val="40"/>
          <w:szCs w:val="40"/>
        </w:rPr>
      </w:pPr>
      <w:r w:rsidRPr="0027399F">
        <w:rPr>
          <w:rFonts w:eastAsia="Times New Roman" w:cstheme="minorHAnsi"/>
          <w:i/>
          <w:position w:val="1"/>
          <w:sz w:val="40"/>
          <w:szCs w:val="40"/>
        </w:rPr>
        <w:t>{</w:t>
      </w:r>
      <w:r w:rsidR="0027399F" w:rsidRPr="0027399F">
        <w:rPr>
          <w:rFonts w:eastAsia="Times New Roman" w:cstheme="minorHAnsi"/>
          <w:i/>
          <w:position w:val="1"/>
          <w:sz w:val="40"/>
          <w:szCs w:val="40"/>
        </w:rPr>
        <w:t>2026</w:t>
      </w:r>
      <w:r w:rsidRPr="0027399F">
        <w:rPr>
          <w:rFonts w:eastAsia="Times New Roman" w:cstheme="minorHAnsi"/>
          <w:i/>
          <w:position w:val="1"/>
          <w:sz w:val="40"/>
          <w:szCs w:val="40"/>
        </w:rPr>
        <w:t>-</w:t>
      </w:r>
      <w:r w:rsidR="003D6BFE">
        <w:rPr>
          <w:rFonts w:eastAsia="Times New Roman" w:cstheme="minorHAnsi"/>
          <w:i/>
          <w:position w:val="1"/>
          <w:sz w:val="40"/>
          <w:szCs w:val="40"/>
        </w:rPr>
        <w:t>March</w:t>
      </w:r>
      <w:r w:rsidRPr="0027399F">
        <w:rPr>
          <w:rFonts w:eastAsia="Times New Roman" w:cstheme="minorHAnsi"/>
          <w:i/>
          <w:position w:val="1"/>
          <w:sz w:val="40"/>
          <w:szCs w:val="40"/>
        </w:rPr>
        <w:t>-</w:t>
      </w:r>
      <w:r w:rsidR="0027399F" w:rsidRPr="0027399F">
        <w:rPr>
          <w:rFonts w:eastAsia="Times New Roman" w:cstheme="minorHAnsi"/>
          <w:i/>
          <w:position w:val="1"/>
          <w:sz w:val="40"/>
          <w:szCs w:val="40"/>
        </w:rPr>
        <w:t>0</w:t>
      </w:r>
      <w:r w:rsidR="003D6BFE">
        <w:rPr>
          <w:rFonts w:eastAsia="Times New Roman" w:cstheme="minorHAnsi"/>
          <w:i/>
          <w:position w:val="1"/>
          <w:sz w:val="40"/>
          <w:szCs w:val="40"/>
        </w:rPr>
        <w:t>3</w:t>
      </w:r>
      <w:r w:rsidRPr="0027399F">
        <w:rPr>
          <w:rFonts w:eastAsia="Times New Roman" w:cstheme="minorHAnsi"/>
          <w:i/>
          <w:position w:val="1"/>
          <w:sz w:val="40"/>
          <w:szCs w:val="40"/>
        </w:rPr>
        <w:t>}</w:t>
      </w:r>
    </w:p>
    <w:p w14:paraId="52E5FC25" w14:textId="77777777" w:rsidR="00B47A0E" w:rsidRPr="0027399F" w:rsidRDefault="00B47A0E" w:rsidP="00B47A0E">
      <w:pPr>
        <w:tabs>
          <w:tab w:val="left" w:pos="1520"/>
        </w:tabs>
        <w:spacing w:before="120" w:after="0" w:line="264" w:lineRule="exact"/>
        <w:ind w:left="101" w:right="-14"/>
        <w:jc w:val="center"/>
        <w:rPr>
          <w:rFonts w:eastAsia="Times New Roman" w:cstheme="minorHAnsi"/>
          <w:i/>
          <w:position w:val="1"/>
          <w:sz w:val="40"/>
          <w:szCs w:val="40"/>
        </w:rPr>
      </w:pPr>
    </w:p>
    <w:p w14:paraId="412BAA4C" w14:textId="4694552D" w:rsidR="0027399F" w:rsidRPr="0027399F" w:rsidRDefault="0027399F" w:rsidP="0027399F">
      <w:pPr>
        <w:tabs>
          <w:tab w:val="left" w:pos="1520"/>
        </w:tabs>
        <w:spacing w:before="120" w:after="0" w:line="264" w:lineRule="exact"/>
        <w:ind w:left="101" w:right="-14"/>
        <w:jc w:val="center"/>
        <w:rPr>
          <w:rFonts w:eastAsia="Times New Roman" w:cstheme="minorHAnsi"/>
          <w:i/>
          <w:position w:val="1"/>
          <w:sz w:val="40"/>
          <w:szCs w:val="40"/>
        </w:rPr>
      </w:pPr>
      <w:r w:rsidRPr="0027399F">
        <w:rPr>
          <w:rFonts w:eastAsia="Times New Roman" w:cstheme="minorHAnsi"/>
          <w:i/>
          <w:position w:val="1"/>
          <w:sz w:val="40"/>
          <w:szCs w:val="40"/>
        </w:rPr>
        <w:t>Framework for Integrating Omics Data with Other</w:t>
      </w:r>
    </w:p>
    <w:p w14:paraId="2D861F99" w14:textId="4330EA2B" w:rsidR="0088557B" w:rsidRPr="0027399F" w:rsidRDefault="0027399F" w:rsidP="0027399F">
      <w:pPr>
        <w:tabs>
          <w:tab w:val="left" w:pos="1520"/>
        </w:tabs>
        <w:spacing w:before="120" w:after="0" w:line="264" w:lineRule="exact"/>
        <w:ind w:left="101" w:right="-14"/>
        <w:jc w:val="center"/>
        <w:rPr>
          <w:rFonts w:eastAsia="Times New Roman" w:cstheme="minorHAnsi"/>
          <w:i/>
          <w:position w:val="1"/>
          <w:sz w:val="40"/>
          <w:szCs w:val="40"/>
        </w:rPr>
      </w:pPr>
      <w:r w:rsidRPr="0027399F">
        <w:rPr>
          <w:rFonts w:eastAsia="Times New Roman" w:cstheme="minorHAnsi"/>
          <w:i/>
          <w:position w:val="1"/>
          <w:sz w:val="40"/>
          <w:szCs w:val="40"/>
        </w:rPr>
        <w:t>Clinical and Non-Clinical Data Sources</w:t>
      </w:r>
    </w:p>
    <w:p w14:paraId="2BC4CABF" w14:textId="77777777" w:rsidR="008019FC" w:rsidRPr="0027399F" w:rsidRDefault="008019FC" w:rsidP="008019FC">
      <w:pPr>
        <w:spacing w:after="0" w:line="240" w:lineRule="auto"/>
        <w:ind w:left="120" w:right="-20"/>
        <w:rPr>
          <w:rFonts w:eastAsia="Cambria" w:cstheme="minorHAnsi"/>
        </w:rPr>
      </w:pPr>
      <w:r w:rsidRPr="0027399F">
        <w:rPr>
          <w:rFonts w:eastAsia="Cambria" w:cstheme="minorHAnsi"/>
          <w:b/>
          <w:bCs/>
        </w:rPr>
        <w:t>R</w:t>
      </w:r>
      <w:r w:rsidRPr="0027399F">
        <w:rPr>
          <w:rFonts w:eastAsia="Cambria" w:cstheme="minorHAnsi"/>
          <w:b/>
          <w:bCs/>
          <w:spacing w:val="1"/>
        </w:rPr>
        <w:t>e</w:t>
      </w:r>
      <w:r w:rsidRPr="0027399F">
        <w:rPr>
          <w:rFonts w:eastAsia="Cambria" w:cstheme="minorHAnsi"/>
          <w:b/>
          <w:bCs/>
        </w:rPr>
        <w:t>vi</w:t>
      </w:r>
      <w:r w:rsidRPr="0027399F">
        <w:rPr>
          <w:rFonts w:eastAsia="Cambria" w:cstheme="minorHAnsi"/>
          <w:b/>
          <w:bCs/>
          <w:spacing w:val="-1"/>
        </w:rPr>
        <w:t>s</w:t>
      </w:r>
      <w:r w:rsidRPr="0027399F">
        <w:rPr>
          <w:rFonts w:eastAsia="Cambria" w:cstheme="minorHAnsi"/>
          <w:b/>
          <w:bCs/>
        </w:rPr>
        <w:t>i</w:t>
      </w:r>
      <w:r w:rsidRPr="0027399F">
        <w:rPr>
          <w:rFonts w:eastAsia="Cambria" w:cstheme="minorHAnsi"/>
          <w:b/>
          <w:bCs/>
          <w:spacing w:val="-3"/>
        </w:rPr>
        <w:t>o</w:t>
      </w:r>
      <w:r w:rsidRPr="0027399F">
        <w:rPr>
          <w:rFonts w:eastAsia="Cambria" w:cstheme="minorHAnsi"/>
          <w:b/>
          <w:bCs/>
        </w:rPr>
        <w:t>n</w:t>
      </w:r>
      <w:r w:rsidRPr="0027399F">
        <w:rPr>
          <w:rFonts w:eastAsia="Cambria" w:cstheme="minorHAnsi"/>
          <w:b/>
          <w:bCs/>
          <w:spacing w:val="1"/>
        </w:rPr>
        <w:t xml:space="preserve"> </w:t>
      </w:r>
      <w:r w:rsidRPr="0027399F">
        <w:rPr>
          <w:rFonts w:eastAsia="Cambria" w:cstheme="minorHAnsi"/>
          <w:b/>
          <w:bCs/>
          <w:spacing w:val="-1"/>
        </w:rPr>
        <w:t>H</w:t>
      </w:r>
      <w:r w:rsidRPr="0027399F">
        <w:rPr>
          <w:rFonts w:eastAsia="Cambria" w:cstheme="minorHAnsi"/>
          <w:b/>
          <w:bCs/>
        </w:rPr>
        <w:t>i</w:t>
      </w:r>
      <w:r w:rsidRPr="0027399F">
        <w:rPr>
          <w:rFonts w:eastAsia="Cambria" w:cstheme="minorHAnsi"/>
          <w:b/>
          <w:bCs/>
          <w:spacing w:val="-1"/>
        </w:rPr>
        <w:t>s</w:t>
      </w:r>
      <w:r w:rsidRPr="0027399F">
        <w:rPr>
          <w:rFonts w:eastAsia="Cambria" w:cstheme="minorHAnsi"/>
          <w:b/>
          <w:bCs/>
          <w:spacing w:val="1"/>
        </w:rPr>
        <w:t>t</w:t>
      </w:r>
      <w:r w:rsidRPr="0027399F">
        <w:rPr>
          <w:rFonts w:eastAsia="Cambria" w:cstheme="minorHAnsi"/>
          <w:b/>
          <w:bCs/>
          <w:spacing w:val="-1"/>
        </w:rPr>
        <w:t>or</w:t>
      </w:r>
      <w:r w:rsidRPr="0027399F">
        <w:rPr>
          <w:rFonts w:eastAsia="Cambria" w:cstheme="minorHAnsi"/>
          <w:b/>
          <w:bCs/>
        </w:rPr>
        <w:t>y</w:t>
      </w:r>
    </w:p>
    <w:tbl>
      <w:tblPr>
        <w:tblW w:w="0" w:type="auto"/>
        <w:tblInd w:w="109" w:type="dxa"/>
        <w:tblLayout w:type="fixed"/>
        <w:tblCellMar>
          <w:left w:w="0" w:type="dxa"/>
          <w:right w:w="0" w:type="dxa"/>
        </w:tblCellMar>
        <w:tblLook w:val="01E0" w:firstRow="1" w:lastRow="1" w:firstColumn="1" w:lastColumn="1" w:noHBand="0" w:noVBand="0"/>
      </w:tblPr>
      <w:tblGrid>
        <w:gridCol w:w="1236"/>
        <w:gridCol w:w="1350"/>
        <w:gridCol w:w="6145"/>
      </w:tblGrid>
      <w:tr w:rsidR="008019FC" w:rsidRPr="0027399F" w14:paraId="20A29E3E" w14:textId="77777777" w:rsidTr="008019FC">
        <w:trPr>
          <w:trHeight w:hRule="exact" w:val="266"/>
        </w:trPr>
        <w:tc>
          <w:tcPr>
            <w:tcW w:w="1236" w:type="dxa"/>
            <w:tcBorders>
              <w:top w:val="single" w:sz="4" w:space="0" w:color="000000"/>
              <w:left w:val="single" w:sz="4" w:space="0" w:color="000000"/>
              <w:bottom w:val="single" w:sz="4" w:space="0" w:color="000000"/>
              <w:right w:val="single" w:sz="4" w:space="0" w:color="000000"/>
            </w:tcBorders>
            <w:shd w:val="clear" w:color="auto" w:fill="C1C1C1"/>
          </w:tcPr>
          <w:p w14:paraId="37A2BB9B" w14:textId="77777777" w:rsidR="008019FC" w:rsidRPr="0027399F" w:rsidRDefault="008019FC" w:rsidP="00F460DF">
            <w:pPr>
              <w:spacing w:after="0" w:line="255" w:lineRule="exact"/>
              <w:ind w:left="102" w:right="-20"/>
              <w:rPr>
                <w:rFonts w:eastAsia="Cambria" w:cstheme="minorHAnsi"/>
              </w:rPr>
            </w:pPr>
            <w:r w:rsidRPr="0027399F">
              <w:rPr>
                <w:rFonts w:eastAsia="Cambria" w:cstheme="minorHAnsi"/>
                <w:b/>
                <w:bCs/>
              </w:rPr>
              <w:t>Version</w:t>
            </w:r>
          </w:p>
        </w:tc>
        <w:tc>
          <w:tcPr>
            <w:tcW w:w="1350" w:type="dxa"/>
            <w:tcBorders>
              <w:top w:val="single" w:sz="4" w:space="0" w:color="000000"/>
              <w:left w:val="single" w:sz="4" w:space="0" w:color="000000"/>
              <w:bottom w:val="single" w:sz="4" w:space="0" w:color="000000"/>
              <w:right w:val="single" w:sz="4" w:space="0" w:color="000000"/>
            </w:tcBorders>
            <w:shd w:val="clear" w:color="auto" w:fill="C1C1C1"/>
          </w:tcPr>
          <w:p w14:paraId="79040851" w14:textId="77777777" w:rsidR="008019FC" w:rsidRPr="0027399F" w:rsidRDefault="008019FC" w:rsidP="00F460DF">
            <w:pPr>
              <w:spacing w:after="0" w:line="255" w:lineRule="exact"/>
              <w:ind w:right="-20"/>
              <w:rPr>
                <w:rFonts w:eastAsia="Cambria" w:cstheme="minorHAnsi"/>
              </w:rPr>
            </w:pPr>
            <w:r w:rsidRPr="0027399F">
              <w:rPr>
                <w:rFonts w:eastAsia="Cambria" w:cstheme="minorHAnsi"/>
                <w:b/>
                <w:bCs/>
                <w:spacing w:val="-1"/>
              </w:rPr>
              <w:t xml:space="preserve"> Date</w:t>
            </w:r>
          </w:p>
        </w:tc>
        <w:tc>
          <w:tcPr>
            <w:tcW w:w="6145" w:type="dxa"/>
            <w:tcBorders>
              <w:top w:val="single" w:sz="4" w:space="0" w:color="000000"/>
              <w:left w:val="single" w:sz="4" w:space="0" w:color="000000"/>
              <w:bottom w:val="single" w:sz="4" w:space="0" w:color="000000"/>
              <w:right w:val="single" w:sz="4" w:space="0" w:color="000000"/>
            </w:tcBorders>
            <w:shd w:val="clear" w:color="auto" w:fill="C1C1C1"/>
          </w:tcPr>
          <w:p w14:paraId="2ABFF18E" w14:textId="77777777" w:rsidR="008019FC" w:rsidRPr="0027399F" w:rsidRDefault="008019FC" w:rsidP="00F460DF">
            <w:pPr>
              <w:spacing w:after="0" w:line="255" w:lineRule="exact"/>
              <w:ind w:left="100" w:right="-20"/>
              <w:rPr>
                <w:rFonts w:eastAsia="Cambria" w:cstheme="minorHAnsi"/>
              </w:rPr>
            </w:pPr>
            <w:r w:rsidRPr="0027399F">
              <w:rPr>
                <w:rFonts w:eastAsia="Cambria" w:cstheme="minorHAnsi"/>
                <w:b/>
                <w:bCs/>
              </w:rPr>
              <w:t>Summ</w:t>
            </w:r>
            <w:r w:rsidRPr="0027399F">
              <w:rPr>
                <w:rFonts w:eastAsia="Cambria" w:cstheme="minorHAnsi"/>
                <w:b/>
                <w:bCs/>
                <w:spacing w:val="-1"/>
              </w:rPr>
              <w:t>ar</w:t>
            </w:r>
            <w:r w:rsidRPr="0027399F">
              <w:rPr>
                <w:rFonts w:eastAsia="Cambria" w:cstheme="minorHAnsi"/>
                <w:b/>
                <w:bCs/>
              </w:rPr>
              <w:t>y</w:t>
            </w:r>
          </w:p>
        </w:tc>
      </w:tr>
      <w:tr w:rsidR="008019FC" w:rsidRPr="0027399F" w14:paraId="5DBCD8FB" w14:textId="77777777" w:rsidTr="008019FC">
        <w:trPr>
          <w:trHeight w:hRule="exact" w:val="624"/>
        </w:trPr>
        <w:tc>
          <w:tcPr>
            <w:tcW w:w="1236" w:type="dxa"/>
            <w:tcBorders>
              <w:top w:val="single" w:sz="4" w:space="0" w:color="000000"/>
              <w:left w:val="single" w:sz="4" w:space="0" w:color="000000"/>
              <w:bottom w:val="single" w:sz="4" w:space="0" w:color="000000"/>
              <w:right w:val="single" w:sz="4" w:space="0" w:color="000000"/>
            </w:tcBorders>
          </w:tcPr>
          <w:p w14:paraId="199D7935" w14:textId="6E2A52D9" w:rsidR="008019FC" w:rsidRPr="0027399F" w:rsidRDefault="0027399F" w:rsidP="00F460DF">
            <w:pPr>
              <w:spacing w:after="0" w:line="257" w:lineRule="exact"/>
              <w:ind w:left="102" w:right="-20"/>
              <w:rPr>
                <w:rFonts w:eastAsia="Cambria" w:cstheme="minorHAnsi"/>
              </w:rPr>
            </w:pPr>
            <w:r w:rsidRPr="0027399F">
              <w:rPr>
                <w:rFonts w:eastAsia="Cambria" w:cstheme="minorHAnsi"/>
              </w:rPr>
              <w:t>1</w:t>
            </w:r>
          </w:p>
        </w:tc>
        <w:tc>
          <w:tcPr>
            <w:tcW w:w="1350" w:type="dxa"/>
            <w:tcBorders>
              <w:top w:val="single" w:sz="4" w:space="0" w:color="000000"/>
              <w:left w:val="single" w:sz="4" w:space="0" w:color="000000"/>
              <w:bottom w:val="single" w:sz="4" w:space="0" w:color="000000"/>
              <w:right w:val="single" w:sz="4" w:space="0" w:color="000000"/>
            </w:tcBorders>
          </w:tcPr>
          <w:p w14:paraId="493FA113" w14:textId="271007C6" w:rsidR="008019FC" w:rsidRPr="0027399F" w:rsidRDefault="0027399F" w:rsidP="00F460DF">
            <w:pPr>
              <w:spacing w:after="0" w:line="257" w:lineRule="exact"/>
              <w:ind w:left="102" w:right="-20"/>
              <w:rPr>
                <w:rFonts w:eastAsia="Cambria" w:cstheme="minorHAnsi"/>
              </w:rPr>
            </w:pPr>
            <w:r w:rsidRPr="0027399F">
              <w:rPr>
                <w:rFonts w:eastAsia="Cambria" w:cstheme="minorHAnsi"/>
              </w:rPr>
              <w:t>02/02/26</w:t>
            </w:r>
          </w:p>
        </w:tc>
        <w:tc>
          <w:tcPr>
            <w:tcW w:w="6145" w:type="dxa"/>
            <w:tcBorders>
              <w:top w:val="single" w:sz="4" w:space="0" w:color="000000"/>
              <w:left w:val="single" w:sz="4" w:space="0" w:color="000000"/>
              <w:bottom w:val="single" w:sz="4" w:space="0" w:color="000000"/>
              <w:right w:val="single" w:sz="4" w:space="0" w:color="000000"/>
            </w:tcBorders>
          </w:tcPr>
          <w:p w14:paraId="29131FEF" w14:textId="030A96B1" w:rsidR="008019FC" w:rsidRPr="0027399F" w:rsidRDefault="0027399F" w:rsidP="008019FC">
            <w:pPr>
              <w:spacing w:after="0" w:line="257" w:lineRule="exact"/>
              <w:ind w:right="-20"/>
              <w:rPr>
                <w:rFonts w:eastAsia="Cambria" w:cstheme="minorHAnsi"/>
              </w:rPr>
            </w:pPr>
            <w:r w:rsidRPr="0027399F">
              <w:rPr>
                <w:rFonts w:eastAsia="Cambria" w:cstheme="minorHAnsi"/>
              </w:rPr>
              <w:t>Final Draft of WP</w:t>
            </w:r>
          </w:p>
        </w:tc>
      </w:tr>
    </w:tbl>
    <w:p w14:paraId="0D7708DA" w14:textId="77777777" w:rsidR="0088557B" w:rsidRPr="0027399F" w:rsidRDefault="0088557B" w:rsidP="0088557B">
      <w:pPr>
        <w:tabs>
          <w:tab w:val="left" w:pos="1520"/>
        </w:tabs>
        <w:spacing w:before="120" w:after="0" w:line="264" w:lineRule="exact"/>
        <w:ind w:left="101" w:right="-14"/>
        <w:rPr>
          <w:rFonts w:eastAsia="Times New Roman" w:cstheme="minorHAnsi"/>
          <w:position w:val="1"/>
          <w:sz w:val="40"/>
          <w:szCs w:val="40"/>
        </w:rPr>
      </w:pPr>
    </w:p>
    <w:p w14:paraId="2A9B45A0" w14:textId="77777777" w:rsidR="0088557B" w:rsidRPr="0027399F" w:rsidRDefault="0088557B" w:rsidP="0088557B">
      <w:pPr>
        <w:tabs>
          <w:tab w:val="left" w:pos="1520"/>
        </w:tabs>
        <w:spacing w:before="120" w:after="0" w:line="264" w:lineRule="exact"/>
        <w:ind w:left="101" w:right="-14"/>
        <w:rPr>
          <w:rFonts w:eastAsia="Times New Roman" w:cstheme="minorHAnsi"/>
          <w:i/>
          <w:position w:val="1"/>
          <w:sz w:val="40"/>
          <w:szCs w:val="40"/>
        </w:rPr>
      </w:pPr>
      <w:r w:rsidRPr="0027399F">
        <w:rPr>
          <w:rFonts w:eastAsia="Times New Roman" w:cstheme="minorHAnsi"/>
          <w:i/>
          <w:position w:val="1"/>
          <w:sz w:val="40"/>
          <w:szCs w:val="40"/>
        </w:rPr>
        <w:tab/>
      </w:r>
      <w:r w:rsidRPr="0027399F">
        <w:rPr>
          <w:rFonts w:eastAsia="Times New Roman" w:cstheme="minorHAnsi"/>
          <w:i/>
          <w:position w:val="1"/>
          <w:sz w:val="40"/>
          <w:szCs w:val="40"/>
        </w:rPr>
        <w:tab/>
      </w:r>
      <w:r w:rsidRPr="0027399F">
        <w:rPr>
          <w:rFonts w:eastAsia="Times New Roman" w:cstheme="minorHAnsi"/>
          <w:i/>
          <w:position w:val="1"/>
          <w:sz w:val="40"/>
          <w:szCs w:val="40"/>
        </w:rPr>
        <w:tab/>
      </w:r>
      <w:r w:rsidRPr="0027399F">
        <w:rPr>
          <w:rFonts w:eastAsia="Times New Roman" w:cstheme="minorHAnsi"/>
          <w:i/>
          <w:position w:val="1"/>
          <w:sz w:val="40"/>
          <w:szCs w:val="40"/>
        </w:rPr>
        <w:tab/>
      </w:r>
      <w:r w:rsidRPr="0027399F">
        <w:rPr>
          <w:rFonts w:eastAsia="Times New Roman" w:cstheme="minorHAnsi"/>
          <w:i/>
          <w:position w:val="1"/>
          <w:sz w:val="40"/>
          <w:szCs w:val="40"/>
        </w:rPr>
        <w:tab/>
      </w:r>
      <w:r w:rsidRPr="0027399F">
        <w:rPr>
          <w:rFonts w:eastAsia="Times New Roman" w:cstheme="minorHAnsi"/>
          <w:i/>
          <w:position w:val="1"/>
          <w:sz w:val="40"/>
          <w:szCs w:val="40"/>
        </w:rPr>
        <w:tab/>
      </w:r>
      <w:r w:rsidRPr="0027399F">
        <w:rPr>
          <w:rFonts w:eastAsia="Times New Roman" w:cstheme="minorHAnsi"/>
          <w:i/>
          <w:position w:val="1"/>
          <w:sz w:val="40"/>
          <w:szCs w:val="40"/>
        </w:rPr>
        <w:tab/>
      </w:r>
      <w:r w:rsidRPr="0027399F">
        <w:rPr>
          <w:rFonts w:eastAsia="Times New Roman" w:cstheme="minorHAnsi"/>
          <w:i/>
          <w:position w:val="1"/>
          <w:sz w:val="40"/>
          <w:szCs w:val="40"/>
        </w:rPr>
        <w:tab/>
      </w:r>
      <w:r w:rsidRPr="0027399F">
        <w:rPr>
          <w:rFonts w:eastAsia="Times New Roman" w:cstheme="minorHAnsi"/>
          <w:i/>
          <w:position w:val="1"/>
          <w:sz w:val="40"/>
          <w:szCs w:val="40"/>
        </w:rPr>
        <w:tab/>
      </w:r>
      <w:r w:rsidRPr="0027399F">
        <w:rPr>
          <w:rFonts w:eastAsia="Times New Roman" w:cstheme="minorHAnsi"/>
          <w:i/>
          <w:position w:val="1"/>
          <w:sz w:val="40"/>
          <w:szCs w:val="40"/>
        </w:rPr>
        <w:tab/>
      </w:r>
    </w:p>
    <w:p w14:paraId="7B663B73" w14:textId="77777777" w:rsidR="00DA5326" w:rsidRPr="0027399F" w:rsidRDefault="00DA5326" w:rsidP="0088557B">
      <w:pPr>
        <w:ind w:left="2160" w:firstLine="720"/>
        <w:rPr>
          <w:rFonts w:cstheme="minorHAnsi"/>
        </w:rPr>
      </w:pPr>
    </w:p>
    <w:p w14:paraId="1C039A20" w14:textId="77777777" w:rsidR="00DA5326" w:rsidRPr="0027399F" w:rsidRDefault="00DA5326" w:rsidP="0088557B">
      <w:pPr>
        <w:ind w:left="2160" w:firstLine="720"/>
        <w:rPr>
          <w:rFonts w:cstheme="minorHAnsi"/>
        </w:rPr>
      </w:pPr>
    </w:p>
    <w:p w14:paraId="513C6E1A" w14:textId="77777777" w:rsidR="00DA5326" w:rsidRPr="0027399F" w:rsidRDefault="00DA5326" w:rsidP="0088557B">
      <w:pPr>
        <w:ind w:left="2160" w:firstLine="720"/>
        <w:rPr>
          <w:rFonts w:cstheme="minorHAnsi"/>
        </w:rPr>
      </w:pPr>
    </w:p>
    <w:p w14:paraId="1658C94B" w14:textId="77777777" w:rsidR="00DA5326" w:rsidRPr="0027399F" w:rsidRDefault="00DA5326" w:rsidP="0088557B">
      <w:pPr>
        <w:ind w:left="2160" w:firstLine="720"/>
        <w:rPr>
          <w:rFonts w:cstheme="minorHAnsi"/>
        </w:rPr>
      </w:pPr>
    </w:p>
    <w:p w14:paraId="672F00A9" w14:textId="77777777" w:rsidR="00DA5326" w:rsidRPr="0027399F" w:rsidRDefault="00DA5326" w:rsidP="0088557B">
      <w:pPr>
        <w:ind w:left="2160" w:firstLine="720"/>
        <w:rPr>
          <w:rFonts w:cstheme="minorHAnsi"/>
        </w:rPr>
      </w:pPr>
    </w:p>
    <w:p w14:paraId="11393900" w14:textId="77777777" w:rsidR="00DA5326" w:rsidRPr="0027399F" w:rsidRDefault="00DA5326" w:rsidP="0088557B">
      <w:pPr>
        <w:ind w:left="2160" w:firstLine="720"/>
        <w:rPr>
          <w:rFonts w:cstheme="minorHAnsi"/>
        </w:rPr>
      </w:pPr>
    </w:p>
    <w:p w14:paraId="309F7726" w14:textId="77777777" w:rsidR="00B96054" w:rsidRPr="0027399F" w:rsidRDefault="00B96054" w:rsidP="0088557B">
      <w:pPr>
        <w:ind w:left="2160" w:firstLine="720"/>
        <w:rPr>
          <w:rFonts w:cstheme="minorHAnsi"/>
        </w:rPr>
      </w:pPr>
    </w:p>
    <w:p w14:paraId="70AABA21" w14:textId="77777777" w:rsidR="00B96054" w:rsidRPr="0027399F" w:rsidRDefault="00B96054" w:rsidP="0088557B">
      <w:pPr>
        <w:ind w:left="2160" w:firstLine="720"/>
        <w:rPr>
          <w:rFonts w:cstheme="minorHAnsi"/>
        </w:rPr>
      </w:pPr>
    </w:p>
    <w:p w14:paraId="60B36F36" w14:textId="77777777" w:rsidR="00B96054" w:rsidRPr="0027399F" w:rsidRDefault="00B96054" w:rsidP="0088557B">
      <w:pPr>
        <w:ind w:left="2160" w:firstLine="720"/>
        <w:rPr>
          <w:rFonts w:cstheme="minorHAnsi"/>
        </w:rPr>
      </w:pPr>
    </w:p>
    <w:p w14:paraId="5B4C742A" w14:textId="77777777" w:rsidR="00DA5326" w:rsidRPr="0027399F" w:rsidRDefault="00DA5326" w:rsidP="0088557B">
      <w:pPr>
        <w:ind w:left="2160" w:firstLine="720"/>
        <w:rPr>
          <w:rFonts w:cstheme="minorHAnsi"/>
        </w:rPr>
      </w:pPr>
    </w:p>
    <w:p w14:paraId="1F114DD2" w14:textId="77777777" w:rsidR="00DA5326" w:rsidRPr="0027399F" w:rsidRDefault="00DA5326" w:rsidP="0088557B">
      <w:pPr>
        <w:ind w:left="2160" w:firstLine="720"/>
        <w:rPr>
          <w:rFonts w:cstheme="minorHAnsi"/>
        </w:rPr>
      </w:pPr>
      <w:r w:rsidRPr="0027399F">
        <w:rPr>
          <w:rFonts w:cstheme="minorHAnsi"/>
        </w:rPr>
        <w:lastRenderedPageBreak/>
        <w:tab/>
      </w:r>
      <w:r w:rsidRPr="0027399F">
        <w:rPr>
          <w:rFonts w:cstheme="minorHAnsi"/>
        </w:rPr>
        <w:tab/>
      </w:r>
      <w:r w:rsidRPr="0027399F">
        <w:rPr>
          <w:rFonts w:cstheme="minorHAnsi"/>
        </w:rPr>
        <w:tab/>
      </w:r>
    </w:p>
    <w:sdt>
      <w:sdtPr>
        <w:rPr>
          <w:rFonts w:asciiTheme="minorHAnsi" w:eastAsiaTheme="minorHAnsi" w:hAnsiTheme="minorHAnsi" w:cstheme="minorHAnsi"/>
          <w:b w:val="0"/>
          <w:bCs w:val="0"/>
          <w:color w:val="auto"/>
          <w:sz w:val="22"/>
          <w:szCs w:val="22"/>
        </w:rPr>
        <w:id w:val="4341902"/>
        <w:docPartObj>
          <w:docPartGallery w:val="Table of Contents"/>
          <w:docPartUnique/>
        </w:docPartObj>
      </w:sdtPr>
      <w:sdtContent>
        <w:p w14:paraId="40A57EA5" w14:textId="2E53BD06" w:rsidR="00467F52" w:rsidRPr="0027399F" w:rsidRDefault="00681863" w:rsidP="004E55E2">
          <w:pPr>
            <w:pStyle w:val="TOCHeading"/>
            <w:rPr>
              <w:rFonts w:asciiTheme="minorHAnsi" w:hAnsiTheme="minorHAnsi" w:cstheme="minorHAnsi"/>
            </w:rPr>
          </w:pPr>
          <w:r w:rsidRPr="0027399F">
            <w:rPr>
              <w:rFonts w:asciiTheme="minorHAnsi" w:hAnsiTheme="minorHAnsi" w:cstheme="minorHAnsi"/>
            </w:rPr>
            <w:t xml:space="preserve">Table of </w:t>
          </w:r>
          <w:r w:rsidR="00DA5326" w:rsidRPr="0027399F">
            <w:rPr>
              <w:rFonts w:asciiTheme="minorHAnsi" w:hAnsiTheme="minorHAnsi" w:cstheme="minorHAnsi"/>
            </w:rPr>
            <w:t>Contents</w:t>
          </w:r>
          <w:r w:rsidRPr="0027399F">
            <w:rPr>
              <w:rFonts w:asciiTheme="minorHAnsi" w:hAnsiTheme="minorHAnsi" w:cstheme="minorHAnsi"/>
            </w:rPr>
            <w:t xml:space="preserve"> </w:t>
          </w:r>
          <w:r w:rsidR="00303464" w:rsidRPr="0027399F">
            <w:rPr>
              <w:rFonts w:asciiTheme="minorHAnsi" w:hAnsiTheme="minorHAnsi" w:cstheme="minorHAnsi"/>
            </w:rPr>
            <w:fldChar w:fldCharType="begin"/>
          </w:r>
          <w:r w:rsidR="00303464" w:rsidRPr="0027399F">
            <w:rPr>
              <w:rFonts w:asciiTheme="minorHAnsi" w:hAnsiTheme="minorHAnsi" w:cstheme="minorHAnsi"/>
            </w:rPr>
            <w:instrText xml:space="preserve"> TOC \o "1-3" \f \h \z \u </w:instrText>
          </w:r>
          <w:r w:rsidR="00303464" w:rsidRPr="0027399F">
            <w:rPr>
              <w:rFonts w:asciiTheme="minorHAnsi" w:hAnsiTheme="minorHAnsi" w:cstheme="minorHAnsi"/>
            </w:rPr>
            <w:fldChar w:fldCharType="separate"/>
          </w:r>
        </w:p>
        <w:p w14:paraId="27F862A0" w14:textId="6B5D29F4" w:rsidR="00467F52" w:rsidRPr="0027399F" w:rsidRDefault="00467F52">
          <w:pPr>
            <w:pStyle w:val="TOC1"/>
            <w:tabs>
              <w:tab w:val="right" w:leader="dot" w:pos="9350"/>
            </w:tabs>
            <w:rPr>
              <w:rFonts w:eastAsiaTheme="minorEastAsia"/>
              <w:noProof/>
              <w:lang w:val="en-GB" w:eastAsia="en-GB"/>
            </w:rPr>
          </w:pPr>
          <w:hyperlink w:anchor="_Toc93493873" w:history="1">
            <w:r w:rsidRPr="0027399F">
              <w:rPr>
                <w:rStyle w:val="Hyperlink"/>
                <w:noProof/>
              </w:rPr>
              <w:t>1: Overview: Purpose of this document</w:t>
            </w:r>
            <w:r w:rsidRPr="0027399F">
              <w:rPr>
                <w:noProof/>
                <w:webHidden/>
              </w:rPr>
              <w:tab/>
            </w:r>
            <w:r w:rsidRPr="0027399F">
              <w:rPr>
                <w:noProof/>
                <w:webHidden/>
              </w:rPr>
              <w:fldChar w:fldCharType="begin"/>
            </w:r>
            <w:r w:rsidRPr="0027399F">
              <w:rPr>
                <w:noProof/>
                <w:webHidden/>
              </w:rPr>
              <w:instrText xml:space="preserve"> PAGEREF _Toc93493873 \h </w:instrText>
            </w:r>
            <w:r w:rsidRPr="0027399F">
              <w:rPr>
                <w:noProof/>
                <w:webHidden/>
              </w:rPr>
            </w:r>
            <w:r w:rsidRPr="0027399F">
              <w:rPr>
                <w:noProof/>
                <w:webHidden/>
              </w:rPr>
              <w:fldChar w:fldCharType="separate"/>
            </w:r>
            <w:r w:rsidRPr="0027399F">
              <w:rPr>
                <w:noProof/>
                <w:webHidden/>
              </w:rPr>
              <w:t>3</w:t>
            </w:r>
            <w:r w:rsidRPr="0027399F">
              <w:rPr>
                <w:noProof/>
                <w:webHidden/>
              </w:rPr>
              <w:fldChar w:fldCharType="end"/>
            </w:r>
          </w:hyperlink>
        </w:p>
        <w:p w14:paraId="7EEC5010" w14:textId="48E53576" w:rsidR="00467F52" w:rsidRPr="0027399F" w:rsidRDefault="00467F52">
          <w:pPr>
            <w:pStyle w:val="TOC1"/>
            <w:tabs>
              <w:tab w:val="right" w:leader="dot" w:pos="9350"/>
            </w:tabs>
            <w:rPr>
              <w:rFonts w:eastAsiaTheme="minorEastAsia"/>
              <w:noProof/>
              <w:lang w:val="en-GB" w:eastAsia="en-GB"/>
            </w:rPr>
          </w:pPr>
          <w:hyperlink w:anchor="_Toc93493874" w:history="1">
            <w:r w:rsidRPr="0027399F">
              <w:rPr>
                <w:rStyle w:val="Hyperlink"/>
                <w:noProof/>
              </w:rPr>
              <w:t>2: Scope:</w:t>
            </w:r>
            <w:r w:rsidRPr="0027399F">
              <w:rPr>
                <w:noProof/>
                <w:webHidden/>
              </w:rPr>
              <w:tab/>
            </w:r>
            <w:r w:rsidRPr="0027399F">
              <w:rPr>
                <w:noProof/>
                <w:webHidden/>
              </w:rPr>
              <w:fldChar w:fldCharType="begin"/>
            </w:r>
            <w:r w:rsidRPr="0027399F">
              <w:rPr>
                <w:noProof/>
                <w:webHidden/>
              </w:rPr>
              <w:instrText xml:space="preserve"> PAGEREF _Toc93493874 \h </w:instrText>
            </w:r>
            <w:r w:rsidRPr="0027399F">
              <w:rPr>
                <w:noProof/>
                <w:webHidden/>
              </w:rPr>
            </w:r>
            <w:r w:rsidRPr="0027399F">
              <w:rPr>
                <w:noProof/>
                <w:webHidden/>
              </w:rPr>
              <w:fldChar w:fldCharType="separate"/>
            </w:r>
            <w:r w:rsidRPr="0027399F">
              <w:rPr>
                <w:noProof/>
                <w:webHidden/>
              </w:rPr>
              <w:t>3</w:t>
            </w:r>
            <w:r w:rsidRPr="0027399F">
              <w:rPr>
                <w:noProof/>
                <w:webHidden/>
              </w:rPr>
              <w:fldChar w:fldCharType="end"/>
            </w:r>
          </w:hyperlink>
        </w:p>
        <w:p w14:paraId="4AC88201" w14:textId="57E3C645" w:rsidR="00467F52" w:rsidRPr="0027399F" w:rsidRDefault="00467F52">
          <w:pPr>
            <w:pStyle w:val="TOC1"/>
            <w:tabs>
              <w:tab w:val="right" w:leader="dot" w:pos="9350"/>
            </w:tabs>
            <w:rPr>
              <w:rFonts w:eastAsiaTheme="minorEastAsia"/>
              <w:noProof/>
              <w:lang w:val="en-GB" w:eastAsia="en-GB"/>
            </w:rPr>
          </w:pPr>
          <w:hyperlink w:anchor="_Toc93493875" w:history="1">
            <w:r w:rsidRPr="0027399F">
              <w:rPr>
                <w:rStyle w:val="Hyperlink"/>
                <w:noProof/>
              </w:rPr>
              <w:t>3: Definitions:</w:t>
            </w:r>
            <w:r w:rsidRPr="0027399F">
              <w:rPr>
                <w:noProof/>
                <w:webHidden/>
              </w:rPr>
              <w:tab/>
            </w:r>
            <w:r w:rsidRPr="0027399F">
              <w:rPr>
                <w:noProof/>
                <w:webHidden/>
              </w:rPr>
              <w:fldChar w:fldCharType="begin"/>
            </w:r>
            <w:r w:rsidRPr="0027399F">
              <w:rPr>
                <w:noProof/>
                <w:webHidden/>
              </w:rPr>
              <w:instrText xml:space="preserve"> PAGEREF _Toc93493875 \h </w:instrText>
            </w:r>
            <w:r w:rsidRPr="0027399F">
              <w:rPr>
                <w:noProof/>
                <w:webHidden/>
              </w:rPr>
            </w:r>
            <w:r w:rsidRPr="0027399F">
              <w:rPr>
                <w:noProof/>
                <w:webHidden/>
              </w:rPr>
              <w:fldChar w:fldCharType="separate"/>
            </w:r>
            <w:r w:rsidRPr="0027399F">
              <w:rPr>
                <w:noProof/>
                <w:webHidden/>
              </w:rPr>
              <w:t>3</w:t>
            </w:r>
            <w:r w:rsidRPr="0027399F">
              <w:rPr>
                <w:noProof/>
                <w:webHidden/>
              </w:rPr>
              <w:fldChar w:fldCharType="end"/>
            </w:r>
          </w:hyperlink>
        </w:p>
        <w:p w14:paraId="09303483" w14:textId="343EFC03" w:rsidR="00467F52" w:rsidRPr="0027399F" w:rsidRDefault="00467F52">
          <w:pPr>
            <w:pStyle w:val="TOC1"/>
            <w:tabs>
              <w:tab w:val="right" w:leader="dot" w:pos="9350"/>
            </w:tabs>
            <w:rPr>
              <w:rFonts w:eastAsiaTheme="minorEastAsia"/>
              <w:noProof/>
              <w:lang w:val="en-GB" w:eastAsia="en-GB"/>
            </w:rPr>
          </w:pPr>
          <w:hyperlink w:anchor="_Toc93493876" w:history="1">
            <w:r w:rsidRPr="0027399F">
              <w:rPr>
                <w:rStyle w:val="Hyperlink"/>
                <w:noProof/>
              </w:rPr>
              <w:t>4: Problem Statement:</w:t>
            </w:r>
            <w:r w:rsidRPr="0027399F">
              <w:rPr>
                <w:noProof/>
                <w:webHidden/>
              </w:rPr>
              <w:tab/>
            </w:r>
            <w:r w:rsidRPr="0027399F">
              <w:rPr>
                <w:noProof/>
                <w:webHidden/>
              </w:rPr>
              <w:fldChar w:fldCharType="begin"/>
            </w:r>
            <w:r w:rsidRPr="0027399F">
              <w:rPr>
                <w:noProof/>
                <w:webHidden/>
              </w:rPr>
              <w:instrText xml:space="preserve"> PAGEREF _Toc93493876 \h </w:instrText>
            </w:r>
            <w:r w:rsidRPr="0027399F">
              <w:rPr>
                <w:noProof/>
                <w:webHidden/>
              </w:rPr>
            </w:r>
            <w:r w:rsidRPr="0027399F">
              <w:rPr>
                <w:noProof/>
                <w:webHidden/>
              </w:rPr>
              <w:fldChar w:fldCharType="separate"/>
            </w:r>
            <w:r w:rsidRPr="0027399F">
              <w:rPr>
                <w:noProof/>
                <w:webHidden/>
              </w:rPr>
              <w:t>3</w:t>
            </w:r>
            <w:r w:rsidRPr="0027399F">
              <w:rPr>
                <w:noProof/>
                <w:webHidden/>
              </w:rPr>
              <w:fldChar w:fldCharType="end"/>
            </w:r>
          </w:hyperlink>
        </w:p>
        <w:p w14:paraId="195B3865" w14:textId="7DF3F733" w:rsidR="00467F52" w:rsidRPr="0027399F" w:rsidRDefault="00467F52">
          <w:pPr>
            <w:pStyle w:val="TOC1"/>
            <w:tabs>
              <w:tab w:val="right" w:leader="dot" w:pos="9350"/>
            </w:tabs>
            <w:rPr>
              <w:rFonts w:eastAsiaTheme="minorEastAsia"/>
              <w:noProof/>
              <w:lang w:val="en-GB" w:eastAsia="en-GB"/>
            </w:rPr>
          </w:pPr>
          <w:hyperlink w:anchor="_Toc93493877" w:history="1">
            <w:r w:rsidRPr="0027399F">
              <w:rPr>
                <w:rStyle w:val="Hyperlink"/>
                <w:noProof/>
              </w:rPr>
              <w:t>5: Background:</w:t>
            </w:r>
            <w:r w:rsidRPr="0027399F">
              <w:rPr>
                <w:noProof/>
                <w:webHidden/>
              </w:rPr>
              <w:tab/>
            </w:r>
            <w:r w:rsidRPr="0027399F">
              <w:rPr>
                <w:noProof/>
                <w:webHidden/>
              </w:rPr>
              <w:fldChar w:fldCharType="begin"/>
            </w:r>
            <w:r w:rsidRPr="0027399F">
              <w:rPr>
                <w:noProof/>
                <w:webHidden/>
              </w:rPr>
              <w:instrText xml:space="preserve"> PAGEREF _Toc93493877 \h </w:instrText>
            </w:r>
            <w:r w:rsidRPr="0027399F">
              <w:rPr>
                <w:noProof/>
                <w:webHidden/>
              </w:rPr>
            </w:r>
            <w:r w:rsidRPr="0027399F">
              <w:rPr>
                <w:noProof/>
                <w:webHidden/>
              </w:rPr>
              <w:fldChar w:fldCharType="separate"/>
            </w:r>
            <w:r w:rsidRPr="0027399F">
              <w:rPr>
                <w:noProof/>
                <w:webHidden/>
              </w:rPr>
              <w:t>3</w:t>
            </w:r>
            <w:r w:rsidRPr="0027399F">
              <w:rPr>
                <w:noProof/>
                <w:webHidden/>
              </w:rPr>
              <w:fldChar w:fldCharType="end"/>
            </w:r>
          </w:hyperlink>
        </w:p>
        <w:p w14:paraId="5B8F3403" w14:textId="1C2BC5B0" w:rsidR="00467F52" w:rsidRPr="0027399F" w:rsidRDefault="00467F52">
          <w:pPr>
            <w:pStyle w:val="TOC1"/>
            <w:tabs>
              <w:tab w:val="right" w:leader="dot" w:pos="9350"/>
            </w:tabs>
            <w:rPr>
              <w:rFonts w:eastAsiaTheme="minorEastAsia"/>
              <w:noProof/>
              <w:lang w:val="en-GB" w:eastAsia="en-GB"/>
            </w:rPr>
          </w:pPr>
          <w:hyperlink w:anchor="_Toc93493878" w:history="1">
            <w:r w:rsidRPr="0027399F">
              <w:rPr>
                <w:rStyle w:val="Hyperlink"/>
                <w:noProof/>
              </w:rPr>
              <w:t>6: Results and Solutions:</w:t>
            </w:r>
            <w:r w:rsidRPr="0027399F">
              <w:rPr>
                <w:noProof/>
                <w:webHidden/>
              </w:rPr>
              <w:tab/>
            </w:r>
            <w:r w:rsidRPr="0027399F">
              <w:rPr>
                <w:noProof/>
                <w:webHidden/>
              </w:rPr>
              <w:fldChar w:fldCharType="begin"/>
            </w:r>
            <w:r w:rsidRPr="0027399F">
              <w:rPr>
                <w:noProof/>
                <w:webHidden/>
              </w:rPr>
              <w:instrText xml:space="preserve"> PAGEREF _Toc93493878 \h </w:instrText>
            </w:r>
            <w:r w:rsidRPr="0027399F">
              <w:rPr>
                <w:noProof/>
                <w:webHidden/>
              </w:rPr>
            </w:r>
            <w:r w:rsidRPr="0027399F">
              <w:rPr>
                <w:noProof/>
                <w:webHidden/>
              </w:rPr>
              <w:fldChar w:fldCharType="separate"/>
            </w:r>
            <w:r w:rsidRPr="0027399F">
              <w:rPr>
                <w:noProof/>
                <w:webHidden/>
              </w:rPr>
              <w:t>3</w:t>
            </w:r>
            <w:r w:rsidRPr="0027399F">
              <w:rPr>
                <w:noProof/>
                <w:webHidden/>
              </w:rPr>
              <w:fldChar w:fldCharType="end"/>
            </w:r>
          </w:hyperlink>
        </w:p>
        <w:p w14:paraId="1FCB2F35" w14:textId="6896DB38" w:rsidR="00467F52" w:rsidRPr="0027399F" w:rsidRDefault="00467F52">
          <w:pPr>
            <w:pStyle w:val="TOC1"/>
            <w:tabs>
              <w:tab w:val="right" w:leader="dot" w:pos="9350"/>
            </w:tabs>
            <w:rPr>
              <w:rFonts w:eastAsiaTheme="minorEastAsia"/>
              <w:noProof/>
              <w:lang w:val="en-GB" w:eastAsia="en-GB"/>
            </w:rPr>
          </w:pPr>
          <w:hyperlink w:anchor="_Toc93493879" w:history="1">
            <w:r w:rsidRPr="0027399F">
              <w:rPr>
                <w:rStyle w:val="Hyperlink"/>
                <w:noProof/>
              </w:rPr>
              <w:t>7: Recommendation:</w:t>
            </w:r>
            <w:r w:rsidRPr="0027399F">
              <w:rPr>
                <w:noProof/>
                <w:webHidden/>
              </w:rPr>
              <w:tab/>
            </w:r>
            <w:r w:rsidRPr="0027399F">
              <w:rPr>
                <w:noProof/>
                <w:webHidden/>
              </w:rPr>
              <w:fldChar w:fldCharType="begin"/>
            </w:r>
            <w:r w:rsidRPr="0027399F">
              <w:rPr>
                <w:noProof/>
                <w:webHidden/>
              </w:rPr>
              <w:instrText xml:space="preserve"> PAGEREF _Toc93493879 \h </w:instrText>
            </w:r>
            <w:r w:rsidRPr="0027399F">
              <w:rPr>
                <w:noProof/>
                <w:webHidden/>
              </w:rPr>
            </w:r>
            <w:r w:rsidRPr="0027399F">
              <w:rPr>
                <w:noProof/>
                <w:webHidden/>
              </w:rPr>
              <w:fldChar w:fldCharType="separate"/>
            </w:r>
            <w:r w:rsidRPr="0027399F">
              <w:rPr>
                <w:noProof/>
                <w:webHidden/>
              </w:rPr>
              <w:t>3</w:t>
            </w:r>
            <w:r w:rsidRPr="0027399F">
              <w:rPr>
                <w:noProof/>
                <w:webHidden/>
              </w:rPr>
              <w:fldChar w:fldCharType="end"/>
            </w:r>
          </w:hyperlink>
        </w:p>
        <w:p w14:paraId="50DECF1B" w14:textId="28677732" w:rsidR="00467F52" w:rsidRPr="0027399F" w:rsidRDefault="00467F52">
          <w:pPr>
            <w:pStyle w:val="TOC1"/>
            <w:tabs>
              <w:tab w:val="right" w:leader="dot" w:pos="9350"/>
            </w:tabs>
            <w:rPr>
              <w:rFonts w:eastAsiaTheme="minorEastAsia"/>
              <w:noProof/>
              <w:lang w:val="en-GB" w:eastAsia="en-GB"/>
            </w:rPr>
          </w:pPr>
          <w:hyperlink w:anchor="_Toc93493880" w:history="1">
            <w:r w:rsidRPr="0027399F">
              <w:rPr>
                <w:rStyle w:val="Hyperlink"/>
                <w:noProof/>
              </w:rPr>
              <w:t>8: Disclaimer:</w:t>
            </w:r>
            <w:r w:rsidRPr="0027399F">
              <w:rPr>
                <w:noProof/>
                <w:webHidden/>
              </w:rPr>
              <w:tab/>
            </w:r>
            <w:r w:rsidRPr="0027399F">
              <w:rPr>
                <w:noProof/>
                <w:webHidden/>
              </w:rPr>
              <w:fldChar w:fldCharType="begin"/>
            </w:r>
            <w:r w:rsidRPr="0027399F">
              <w:rPr>
                <w:noProof/>
                <w:webHidden/>
              </w:rPr>
              <w:instrText xml:space="preserve"> PAGEREF _Toc93493880 \h </w:instrText>
            </w:r>
            <w:r w:rsidRPr="0027399F">
              <w:rPr>
                <w:noProof/>
                <w:webHidden/>
              </w:rPr>
            </w:r>
            <w:r w:rsidRPr="0027399F">
              <w:rPr>
                <w:noProof/>
                <w:webHidden/>
              </w:rPr>
              <w:fldChar w:fldCharType="separate"/>
            </w:r>
            <w:r w:rsidRPr="0027399F">
              <w:rPr>
                <w:noProof/>
                <w:webHidden/>
              </w:rPr>
              <w:t>3</w:t>
            </w:r>
            <w:r w:rsidRPr="0027399F">
              <w:rPr>
                <w:noProof/>
                <w:webHidden/>
              </w:rPr>
              <w:fldChar w:fldCharType="end"/>
            </w:r>
          </w:hyperlink>
        </w:p>
        <w:p w14:paraId="0EBC2A42" w14:textId="43B5FEB6" w:rsidR="00467F52" w:rsidRPr="0027399F" w:rsidRDefault="00467F52">
          <w:pPr>
            <w:pStyle w:val="TOC1"/>
            <w:tabs>
              <w:tab w:val="right" w:leader="dot" w:pos="9350"/>
            </w:tabs>
            <w:rPr>
              <w:rFonts w:eastAsiaTheme="minorEastAsia"/>
              <w:noProof/>
              <w:lang w:val="en-GB" w:eastAsia="en-GB"/>
            </w:rPr>
          </w:pPr>
          <w:hyperlink w:anchor="_Toc93493881" w:history="1">
            <w:r w:rsidRPr="0027399F">
              <w:rPr>
                <w:rStyle w:val="Hyperlink"/>
                <w:noProof/>
              </w:rPr>
              <w:t>9: Appendices:</w:t>
            </w:r>
            <w:r w:rsidRPr="0027399F">
              <w:rPr>
                <w:noProof/>
                <w:webHidden/>
              </w:rPr>
              <w:tab/>
            </w:r>
            <w:r w:rsidRPr="0027399F">
              <w:rPr>
                <w:noProof/>
                <w:webHidden/>
              </w:rPr>
              <w:fldChar w:fldCharType="begin"/>
            </w:r>
            <w:r w:rsidRPr="0027399F">
              <w:rPr>
                <w:noProof/>
                <w:webHidden/>
              </w:rPr>
              <w:instrText xml:space="preserve"> PAGEREF _Toc93493881 \h </w:instrText>
            </w:r>
            <w:r w:rsidRPr="0027399F">
              <w:rPr>
                <w:noProof/>
                <w:webHidden/>
              </w:rPr>
            </w:r>
            <w:r w:rsidRPr="0027399F">
              <w:rPr>
                <w:noProof/>
                <w:webHidden/>
              </w:rPr>
              <w:fldChar w:fldCharType="separate"/>
            </w:r>
            <w:r w:rsidRPr="0027399F">
              <w:rPr>
                <w:noProof/>
                <w:webHidden/>
              </w:rPr>
              <w:t>4</w:t>
            </w:r>
            <w:r w:rsidRPr="0027399F">
              <w:rPr>
                <w:noProof/>
                <w:webHidden/>
              </w:rPr>
              <w:fldChar w:fldCharType="end"/>
            </w:r>
          </w:hyperlink>
        </w:p>
        <w:p w14:paraId="63ADEB95" w14:textId="60A9D1F7" w:rsidR="00467F52" w:rsidRPr="0027399F" w:rsidRDefault="00467F52">
          <w:pPr>
            <w:pStyle w:val="TOC1"/>
            <w:tabs>
              <w:tab w:val="right" w:leader="dot" w:pos="9350"/>
            </w:tabs>
            <w:rPr>
              <w:rFonts w:eastAsiaTheme="minorEastAsia"/>
              <w:noProof/>
              <w:lang w:val="en-GB" w:eastAsia="en-GB"/>
            </w:rPr>
          </w:pPr>
          <w:hyperlink w:anchor="_Toc93493882" w:history="1">
            <w:r w:rsidRPr="0027399F">
              <w:rPr>
                <w:rStyle w:val="Hyperlink"/>
                <w:noProof/>
              </w:rPr>
              <w:t>10: Project Contact Information:</w:t>
            </w:r>
            <w:r w:rsidRPr="0027399F">
              <w:rPr>
                <w:noProof/>
                <w:webHidden/>
              </w:rPr>
              <w:tab/>
            </w:r>
            <w:r w:rsidRPr="0027399F">
              <w:rPr>
                <w:noProof/>
                <w:webHidden/>
              </w:rPr>
              <w:fldChar w:fldCharType="begin"/>
            </w:r>
            <w:r w:rsidRPr="0027399F">
              <w:rPr>
                <w:noProof/>
                <w:webHidden/>
              </w:rPr>
              <w:instrText xml:space="preserve"> PAGEREF _Toc93493882 \h </w:instrText>
            </w:r>
            <w:r w:rsidRPr="0027399F">
              <w:rPr>
                <w:noProof/>
                <w:webHidden/>
              </w:rPr>
            </w:r>
            <w:r w:rsidRPr="0027399F">
              <w:rPr>
                <w:noProof/>
                <w:webHidden/>
              </w:rPr>
              <w:fldChar w:fldCharType="separate"/>
            </w:r>
            <w:r w:rsidRPr="0027399F">
              <w:rPr>
                <w:noProof/>
                <w:webHidden/>
              </w:rPr>
              <w:t>4</w:t>
            </w:r>
            <w:r w:rsidRPr="0027399F">
              <w:rPr>
                <w:noProof/>
                <w:webHidden/>
              </w:rPr>
              <w:fldChar w:fldCharType="end"/>
            </w:r>
          </w:hyperlink>
        </w:p>
        <w:p w14:paraId="2233A985" w14:textId="1C72A72D" w:rsidR="00467F52" w:rsidRPr="0027399F" w:rsidRDefault="00467F52">
          <w:pPr>
            <w:pStyle w:val="TOC1"/>
            <w:tabs>
              <w:tab w:val="right" w:leader="dot" w:pos="9350"/>
            </w:tabs>
            <w:rPr>
              <w:rFonts w:eastAsiaTheme="minorEastAsia"/>
              <w:noProof/>
              <w:lang w:val="en-GB" w:eastAsia="en-GB"/>
            </w:rPr>
          </w:pPr>
          <w:hyperlink w:anchor="_Toc93493883" w:history="1">
            <w:r w:rsidRPr="0027399F">
              <w:rPr>
                <w:rStyle w:val="Hyperlink"/>
                <w:noProof/>
              </w:rPr>
              <w:t>11: Acknowledg</w:t>
            </w:r>
            <w:r w:rsidR="004E55E2">
              <w:rPr>
                <w:rStyle w:val="Hyperlink"/>
                <w:noProof/>
              </w:rPr>
              <w:t>e</w:t>
            </w:r>
            <w:r w:rsidRPr="0027399F">
              <w:rPr>
                <w:rStyle w:val="Hyperlink"/>
                <w:noProof/>
              </w:rPr>
              <w:t>ments:</w:t>
            </w:r>
            <w:r w:rsidRPr="0027399F">
              <w:rPr>
                <w:noProof/>
                <w:webHidden/>
              </w:rPr>
              <w:tab/>
            </w:r>
            <w:r w:rsidRPr="0027399F">
              <w:rPr>
                <w:noProof/>
                <w:webHidden/>
              </w:rPr>
              <w:fldChar w:fldCharType="begin"/>
            </w:r>
            <w:r w:rsidRPr="0027399F">
              <w:rPr>
                <w:noProof/>
                <w:webHidden/>
              </w:rPr>
              <w:instrText xml:space="preserve"> PAGEREF _Toc93493883 \h </w:instrText>
            </w:r>
            <w:r w:rsidRPr="0027399F">
              <w:rPr>
                <w:noProof/>
                <w:webHidden/>
              </w:rPr>
            </w:r>
            <w:r w:rsidRPr="0027399F">
              <w:rPr>
                <w:noProof/>
                <w:webHidden/>
              </w:rPr>
              <w:fldChar w:fldCharType="separate"/>
            </w:r>
            <w:r w:rsidRPr="0027399F">
              <w:rPr>
                <w:noProof/>
                <w:webHidden/>
              </w:rPr>
              <w:t>4</w:t>
            </w:r>
            <w:r w:rsidRPr="0027399F">
              <w:rPr>
                <w:noProof/>
                <w:webHidden/>
              </w:rPr>
              <w:fldChar w:fldCharType="end"/>
            </w:r>
          </w:hyperlink>
        </w:p>
        <w:p w14:paraId="581081F8" w14:textId="5613664F" w:rsidR="00DA5326" w:rsidRPr="0027399F" w:rsidRDefault="00303464">
          <w:pPr>
            <w:rPr>
              <w:rFonts w:cstheme="minorHAnsi"/>
            </w:rPr>
          </w:pPr>
          <w:r w:rsidRPr="0027399F">
            <w:rPr>
              <w:rFonts w:cstheme="minorHAnsi"/>
            </w:rPr>
            <w:fldChar w:fldCharType="end"/>
          </w:r>
        </w:p>
      </w:sdtContent>
    </w:sdt>
    <w:p w14:paraId="0C56F624" w14:textId="77777777" w:rsidR="00DA5326" w:rsidRPr="0027399F" w:rsidRDefault="00DA5326" w:rsidP="0088557B">
      <w:pPr>
        <w:ind w:left="2160" w:firstLine="720"/>
        <w:rPr>
          <w:rFonts w:cstheme="minorHAnsi"/>
        </w:rPr>
      </w:pPr>
    </w:p>
    <w:p w14:paraId="7F2D7DE5" w14:textId="77777777" w:rsidR="00DA5326" w:rsidRPr="0027399F" w:rsidRDefault="00DA5326" w:rsidP="0088557B">
      <w:pPr>
        <w:ind w:left="2160" w:firstLine="720"/>
        <w:rPr>
          <w:rFonts w:cstheme="minorHAnsi"/>
        </w:rPr>
      </w:pPr>
    </w:p>
    <w:p w14:paraId="0F43AA96" w14:textId="77777777" w:rsidR="00DA5326" w:rsidRPr="0027399F" w:rsidRDefault="00DA5326" w:rsidP="0088557B">
      <w:pPr>
        <w:ind w:left="2160" w:firstLine="720"/>
        <w:rPr>
          <w:rFonts w:cstheme="minorHAnsi"/>
        </w:rPr>
      </w:pPr>
    </w:p>
    <w:p w14:paraId="31F401A7" w14:textId="77777777" w:rsidR="00DA5326" w:rsidRPr="0027399F" w:rsidRDefault="00DA5326" w:rsidP="0088557B">
      <w:pPr>
        <w:ind w:left="2160" w:firstLine="720"/>
        <w:rPr>
          <w:rFonts w:cstheme="minorHAnsi"/>
        </w:rPr>
      </w:pPr>
    </w:p>
    <w:p w14:paraId="78F0303E" w14:textId="77777777" w:rsidR="00DA5326" w:rsidRPr="0027399F" w:rsidRDefault="00DA5326" w:rsidP="0088557B">
      <w:pPr>
        <w:ind w:left="2160" w:firstLine="720"/>
        <w:rPr>
          <w:rFonts w:cstheme="minorHAnsi"/>
        </w:rPr>
      </w:pPr>
    </w:p>
    <w:p w14:paraId="3177ACCA" w14:textId="77777777" w:rsidR="00DA5326" w:rsidRPr="0027399F" w:rsidRDefault="00DA5326" w:rsidP="0088557B">
      <w:pPr>
        <w:ind w:left="2160" w:firstLine="720"/>
        <w:rPr>
          <w:rFonts w:cstheme="minorHAnsi"/>
        </w:rPr>
      </w:pPr>
    </w:p>
    <w:p w14:paraId="572C9B5F" w14:textId="77777777" w:rsidR="00DA5326" w:rsidRPr="0027399F" w:rsidRDefault="00DA5326" w:rsidP="0088557B">
      <w:pPr>
        <w:ind w:left="2160" w:firstLine="720"/>
        <w:rPr>
          <w:rFonts w:cstheme="minorHAnsi"/>
        </w:rPr>
      </w:pPr>
    </w:p>
    <w:p w14:paraId="65516B1E" w14:textId="77777777" w:rsidR="00DA5326" w:rsidRPr="0027399F" w:rsidRDefault="00DA5326" w:rsidP="0088557B">
      <w:pPr>
        <w:ind w:left="2160" w:firstLine="720"/>
        <w:rPr>
          <w:rFonts w:cstheme="minorHAnsi"/>
        </w:rPr>
      </w:pPr>
    </w:p>
    <w:p w14:paraId="7F875568" w14:textId="77777777" w:rsidR="00DA5326" w:rsidRPr="0027399F" w:rsidRDefault="00DA5326" w:rsidP="0088557B">
      <w:pPr>
        <w:ind w:left="2160" w:firstLine="720"/>
        <w:rPr>
          <w:rFonts w:cstheme="minorHAnsi"/>
        </w:rPr>
      </w:pPr>
    </w:p>
    <w:p w14:paraId="05E46C1F" w14:textId="77777777" w:rsidR="00DA5326" w:rsidRPr="0027399F" w:rsidRDefault="00DA5326" w:rsidP="0088557B">
      <w:pPr>
        <w:ind w:left="2160" w:firstLine="720"/>
        <w:rPr>
          <w:rFonts w:cstheme="minorHAnsi"/>
        </w:rPr>
      </w:pPr>
    </w:p>
    <w:p w14:paraId="2714A61F" w14:textId="77777777" w:rsidR="00DA5326" w:rsidRPr="0027399F" w:rsidRDefault="00DA5326" w:rsidP="0088557B">
      <w:pPr>
        <w:ind w:left="2160" w:firstLine="720"/>
        <w:rPr>
          <w:rFonts w:cstheme="minorHAnsi"/>
        </w:rPr>
      </w:pPr>
    </w:p>
    <w:p w14:paraId="5E35CA54" w14:textId="77777777" w:rsidR="00DA5326" w:rsidRPr="0027399F" w:rsidRDefault="00DA5326" w:rsidP="0088557B">
      <w:pPr>
        <w:ind w:left="2160" w:firstLine="720"/>
        <w:rPr>
          <w:rFonts w:cstheme="minorHAnsi"/>
        </w:rPr>
      </w:pPr>
    </w:p>
    <w:p w14:paraId="509FD4E7" w14:textId="09118AFA" w:rsidR="00DA5326" w:rsidRPr="0027399F" w:rsidRDefault="00303464" w:rsidP="00DA5326">
      <w:pPr>
        <w:pStyle w:val="Heading1"/>
        <w:rPr>
          <w:rFonts w:asciiTheme="minorHAnsi" w:hAnsiTheme="minorHAnsi" w:cstheme="minorHAnsi"/>
        </w:rPr>
      </w:pPr>
      <w:bookmarkStart w:id="0" w:name="_Toc93493873"/>
      <w:r w:rsidRPr="0027399F">
        <w:rPr>
          <w:rFonts w:asciiTheme="minorHAnsi" w:hAnsiTheme="minorHAnsi" w:cstheme="minorHAnsi"/>
        </w:rPr>
        <w:t xml:space="preserve">1: </w:t>
      </w:r>
      <w:r w:rsidR="0027399F" w:rsidRPr="0027399F">
        <w:rPr>
          <w:rFonts w:asciiTheme="minorHAnsi" w:hAnsiTheme="minorHAnsi" w:cstheme="minorHAnsi"/>
        </w:rPr>
        <w:t>Abstract</w:t>
      </w:r>
      <w:bookmarkEnd w:id="0"/>
    </w:p>
    <w:p w14:paraId="1EB77A56" w14:textId="7FFCD71F" w:rsidR="00DA5326" w:rsidRPr="001B0F5B" w:rsidRDefault="0027399F" w:rsidP="0027399F">
      <w:pPr>
        <w:widowControl/>
        <w:pBdr>
          <w:top w:val="nil"/>
          <w:left w:val="nil"/>
          <w:bottom w:val="nil"/>
          <w:right w:val="nil"/>
          <w:between w:val="nil"/>
        </w:pBdr>
        <w:spacing w:before="240" w:line="240" w:lineRule="auto"/>
        <w:ind w:hanging="2"/>
        <w:jc w:val="both"/>
        <w:rPr>
          <w:rFonts w:eastAsia="Arial" w:cstheme="minorHAnsi"/>
          <w:color w:val="EE0000"/>
        </w:rPr>
      </w:pPr>
      <w:r w:rsidRPr="0027399F">
        <w:rPr>
          <w:rFonts w:eastAsia="Arial" w:cstheme="minorHAnsi"/>
          <w:color w:val="000000" w:themeColor="text1"/>
        </w:rPr>
        <w:t xml:space="preserve">The integration of omics data into clinical research is increasingly critical for advancing precision medicine, yet current industry standards, such as CDISC, do </w:t>
      </w:r>
      <w:r w:rsidRPr="00F71952">
        <w:rPr>
          <w:rFonts w:eastAsia="Arial" w:cstheme="minorHAnsi"/>
          <w:color w:val="000000" w:themeColor="text1"/>
        </w:rPr>
        <w:t xml:space="preserve">not fully address the complexity of omics datasets. This presentation introduces a Data Integration Framework designed </w:t>
      </w:r>
      <w:r w:rsidR="001B0F5B" w:rsidRPr="00F71952">
        <w:rPr>
          <w:rFonts w:eastAsia="Arial" w:cstheme="minorHAnsi"/>
          <w:color w:val="000000" w:themeColor="text1"/>
        </w:rPr>
        <w:t xml:space="preserve">around an </w:t>
      </w:r>
      <w:r w:rsidR="00FF3FFD" w:rsidRPr="00F71952">
        <w:rPr>
          <w:rFonts w:eastAsia="Arial" w:cstheme="minorHAnsi"/>
          <w:color w:val="000000" w:themeColor="text1"/>
        </w:rPr>
        <w:t>I</w:t>
      </w:r>
      <w:r w:rsidR="001B0F5B" w:rsidRPr="00F71952">
        <w:rPr>
          <w:rFonts w:eastAsia="Arial" w:cstheme="minorHAnsi"/>
          <w:color w:val="000000" w:themeColor="text1"/>
        </w:rPr>
        <w:t xml:space="preserve">nternational </w:t>
      </w:r>
      <w:r w:rsidR="00FF3FFD" w:rsidRPr="00F71952">
        <w:rPr>
          <w:rFonts w:eastAsia="Arial" w:cstheme="minorHAnsi"/>
          <w:color w:val="000000" w:themeColor="text1"/>
        </w:rPr>
        <w:t>S</w:t>
      </w:r>
      <w:r w:rsidR="001B0F5B" w:rsidRPr="00F71952">
        <w:rPr>
          <w:rFonts w:eastAsia="Arial" w:cstheme="minorHAnsi"/>
          <w:color w:val="000000" w:themeColor="text1"/>
        </w:rPr>
        <w:t xml:space="preserve">tandard </w:t>
      </w:r>
      <w:proofErr w:type="spellStart"/>
      <w:r w:rsidR="001B0F5B" w:rsidRPr="00F71952">
        <w:rPr>
          <w:rFonts w:eastAsia="Arial" w:cstheme="minorHAnsi"/>
          <w:color w:val="000000" w:themeColor="text1"/>
        </w:rPr>
        <w:t>BioCompute</w:t>
      </w:r>
      <w:proofErr w:type="spellEnd"/>
      <w:r w:rsidR="001B0F5B" w:rsidRPr="00F71952">
        <w:rPr>
          <w:rFonts w:eastAsia="Arial" w:cstheme="minorHAnsi"/>
          <w:color w:val="000000" w:themeColor="text1"/>
        </w:rPr>
        <w:t xml:space="preserve"> (</w:t>
      </w:r>
      <w:r w:rsidR="00FF3FFD" w:rsidRPr="00F71952">
        <w:rPr>
          <w:rFonts w:eastAsia="Arial" w:cstheme="minorHAnsi"/>
          <w:color w:val="000000" w:themeColor="text1"/>
        </w:rPr>
        <w:t xml:space="preserve">aka </w:t>
      </w:r>
      <w:r w:rsidR="001B0F5B" w:rsidRPr="00F71952">
        <w:rPr>
          <w:rFonts w:eastAsia="Arial" w:cstheme="minorHAnsi"/>
          <w:color w:val="000000" w:themeColor="text1"/>
        </w:rPr>
        <w:t xml:space="preserve">IEEE 2791-2020) and the R-Package Multi-Assay Experiment (MAE) to </w:t>
      </w:r>
      <w:r w:rsidRPr="00F71952">
        <w:rPr>
          <w:rFonts w:eastAsia="Arial" w:cstheme="minorHAnsi"/>
          <w:color w:val="000000" w:themeColor="text1"/>
        </w:rPr>
        <w:t>merge omics data with clinical and non-clinical sources, offering a comprehensive view of patient health and treatment outcomes. Key challenges will be discussed, including the heterogeneity of omics data formats, ensuring data quality and reproducibility across platforms, managing large-scale data storage, and the complexity of downstream bioinformatics analysis. The proposed framework emphasizes standardization</w:t>
      </w:r>
      <w:r w:rsidRPr="0027399F">
        <w:rPr>
          <w:rFonts w:eastAsia="Arial" w:cstheme="minorHAnsi"/>
          <w:color w:val="000000" w:themeColor="text1"/>
        </w:rPr>
        <w:t>, interoperability, scalable data management, and reproducible analytics to support reliable integration and interpretation. Practical examples will illustrate how this approach enhances clinical insights and supports translational research efforts, ultimately paving the way for a more integrated and patient-centric data ecosystem in clinical development.</w:t>
      </w:r>
      <w:r w:rsidR="001B0F5B">
        <w:rPr>
          <w:rFonts w:eastAsia="Arial" w:cstheme="minorHAnsi"/>
          <w:color w:val="000000" w:themeColor="text1"/>
        </w:rPr>
        <w:t xml:space="preserve"> </w:t>
      </w:r>
    </w:p>
    <w:p w14:paraId="7FDCF59A" w14:textId="5629CCCF" w:rsidR="00DA5326" w:rsidRPr="0027399F" w:rsidRDefault="00303464" w:rsidP="00DA5326">
      <w:pPr>
        <w:pStyle w:val="Heading1"/>
        <w:rPr>
          <w:rFonts w:asciiTheme="minorHAnsi" w:hAnsiTheme="minorHAnsi" w:cstheme="minorHAnsi"/>
        </w:rPr>
      </w:pPr>
      <w:bookmarkStart w:id="1" w:name="_Toc93493874"/>
      <w:r w:rsidRPr="0027399F">
        <w:rPr>
          <w:rFonts w:asciiTheme="minorHAnsi" w:hAnsiTheme="minorHAnsi" w:cstheme="minorHAnsi"/>
        </w:rPr>
        <w:t xml:space="preserve">2: </w:t>
      </w:r>
      <w:r w:rsidR="0027399F" w:rsidRPr="0027399F">
        <w:rPr>
          <w:rFonts w:asciiTheme="minorHAnsi" w:hAnsiTheme="minorHAnsi" w:cstheme="minorHAnsi"/>
        </w:rPr>
        <w:t>Introduction</w:t>
      </w:r>
      <w:r w:rsidR="00DA5326" w:rsidRPr="0027399F">
        <w:rPr>
          <w:rFonts w:asciiTheme="minorHAnsi" w:hAnsiTheme="minorHAnsi" w:cstheme="minorHAnsi"/>
        </w:rPr>
        <w:t>:</w:t>
      </w:r>
      <w:bookmarkEnd w:id="1"/>
    </w:p>
    <w:p w14:paraId="43C5CBF8" w14:textId="3A4B5B21" w:rsidR="0027399F" w:rsidRPr="0027399F" w:rsidRDefault="0027399F" w:rsidP="0027399F">
      <w:pPr>
        <w:pBdr>
          <w:top w:val="nil"/>
          <w:left w:val="nil"/>
          <w:bottom w:val="nil"/>
          <w:right w:val="nil"/>
          <w:between w:val="nil"/>
        </w:pBdr>
        <w:spacing w:before="20" w:line="240" w:lineRule="auto"/>
        <w:ind w:hanging="2"/>
        <w:jc w:val="both"/>
        <w:rPr>
          <w:rFonts w:eastAsia="Arial" w:cstheme="minorHAnsi"/>
          <w:color w:val="000000" w:themeColor="text1"/>
          <w:lang w:val="en-GB"/>
        </w:rPr>
      </w:pPr>
      <w:r w:rsidRPr="0027399F">
        <w:rPr>
          <w:rFonts w:eastAsia="Arial" w:cstheme="minorHAnsi"/>
          <w:color w:val="000000" w:themeColor="text1"/>
          <w:lang w:val="en-GB"/>
        </w:rPr>
        <w:t>This document addresses a critical challenge in biomedical development: the integration of omics data with clinical data. While some solutions are already in place, the complexity and diversity of these data types continue to hinder seamless reconciliation.</w:t>
      </w:r>
    </w:p>
    <w:p w14:paraId="1C776B4C" w14:textId="467C7B79" w:rsidR="0027399F" w:rsidRPr="0027399F" w:rsidRDefault="0027399F" w:rsidP="0027399F">
      <w:pPr>
        <w:pBdr>
          <w:top w:val="nil"/>
          <w:left w:val="nil"/>
          <w:bottom w:val="nil"/>
          <w:right w:val="nil"/>
          <w:between w:val="nil"/>
        </w:pBdr>
        <w:spacing w:before="20" w:line="240" w:lineRule="auto"/>
        <w:ind w:hanging="2"/>
        <w:jc w:val="both"/>
        <w:rPr>
          <w:rFonts w:eastAsia="Arial" w:cstheme="minorHAnsi"/>
          <w:color w:val="000000" w:themeColor="text1"/>
        </w:rPr>
      </w:pPr>
      <w:r w:rsidRPr="0027399F">
        <w:rPr>
          <w:rFonts w:eastAsia="Arial" w:cstheme="minorHAnsi"/>
          <w:color w:val="000000" w:themeColor="text1"/>
        </w:rPr>
        <w:t xml:space="preserve">The aim is to not only present existing approaches but also to foster cross-industry collaboration and research dialogue — bringing together stakeholders from pharmaceutical companies, clinical research organizations, academic institutions </w:t>
      </w:r>
      <w:r w:rsidRPr="0027399F">
        <w:rPr>
          <w:rFonts w:eastAsia="Arial" w:cstheme="minorHAnsi"/>
          <w:color w:val="000000" w:themeColor="text1"/>
          <w:lang w:val="en-GB"/>
        </w:rPr>
        <w:t>and genomics databases / biobanks</w:t>
      </w:r>
      <w:r w:rsidRPr="0027399F">
        <w:rPr>
          <w:rFonts w:eastAsia="Arial" w:cstheme="minorHAnsi"/>
          <w:color w:val="000000" w:themeColor="text1"/>
        </w:rPr>
        <w:t xml:space="preserve"> to advance data </w:t>
      </w:r>
      <w:r w:rsidRPr="0027399F">
        <w:rPr>
          <w:rFonts w:eastAsia="Arial" w:cstheme="minorHAnsi"/>
          <w:color w:val="000000" w:themeColor="text1"/>
          <w:lang w:val="en-GB"/>
        </w:rPr>
        <w:t>harmonization and interoperability practices.</w:t>
      </w:r>
      <w:r w:rsidRPr="0027399F">
        <w:rPr>
          <w:rFonts w:eastAsia="Arial" w:cstheme="minorHAnsi"/>
          <w:color w:val="000000" w:themeColor="text1"/>
        </w:rPr>
        <w:t xml:space="preserve"> Ultimately, this document serves as a starting point for researchers, clinicians, and data scientists, who are considering and striving to unlock the full potential of multi-dimensional health data (where multi-dimensional data means multiple high dimensional data sets). By doing so, it supports the evolution of personalized medicine, also known as precision medicine, and contributes to improved patient outcomes.</w:t>
      </w:r>
    </w:p>
    <w:p w14:paraId="3BDF80E5" w14:textId="0FB3AE1A" w:rsidR="0027399F" w:rsidRPr="0027399F" w:rsidRDefault="0027399F" w:rsidP="0027399F">
      <w:pPr>
        <w:pBdr>
          <w:top w:val="nil"/>
          <w:left w:val="nil"/>
          <w:bottom w:val="nil"/>
          <w:right w:val="nil"/>
          <w:between w:val="nil"/>
        </w:pBdr>
        <w:spacing w:before="20" w:line="240" w:lineRule="auto"/>
        <w:ind w:hanging="2"/>
        <w:jc w:val="both"/>
        <w:rPr>
          <w:rFonts w:eastAsia="Arial" w:cstheme="minorHAnsi"/>
          <w:color w:val="000000" w:themeColor="text1"/>
          <w:lang w:val="en-GB"/>
        </w:rPr>
      </w:pPr>
      <w:r w:rsidRPr="0027399F">
        <w:rPr>
          <w:rFonts w:eastAsia="Arial" w:cstheme="minorHAnsi"/>
          <w:color w:val="000000" w:themeColor="text1"/>
          <w:lang w:val="en-GB"/>
        </w:rPr>
        <w:t>The integration of clinical and biomarker data requires structured methodologies or frameworks capable of merging different types of human biology and DNA sequencing — such as genomics, proteomics, metabolomics, and transcriptomics — with clinical, and non-clinical data. This enables richer, data-driven insights into biomedical research, personalized medicine, and healthcare delivery.</w:t>
      </w:r>
    </w:p>
    <w:p w14:paraId="0860B2D4" w14:textId="77777777" w:rsidR="0027399F" w:rsidRPr="0027399F" w:rsidRDefault="0027399F" w:rsidP="0027399F">
      <w:pPr>
        <w:pBdr>
          <w:top w:val="nil"/>
          <w:left w:val="nil"/>
          <w:bottom w:val="nil"/>
          <w:right w:val="nil"/>
          <w:between w:val="nil"/>
        </w:pBdr>
        <w:spacing w:before="20" w:line="240" w:lineRule="auto"/>
        <w:ind w:hanging="2"/>
        <w:jc w:val="both"/>
        <w:rPr>
          <w:rFonts w:eastAsia="Arial" w:cstheme="minorHAnsi"/>
          <w:color w:val="000000" w:themeColor="text1"/>
          <w:sz w:val="18"/>
          <w:szCs w:val="18"/>
          <w:lang w:val="en-GB"/>
        </w:rPr>
      </w:pPr>
    </w:p>
    <w:p w14:paraId="00B91622" w14:textId="77777777" w:rsidR="0027399F" w:rsidRPr="0027399F" w:rsidRDefault="0027399F" w:rsidP="0027399F">
      <w:pPr>
        <w:keepNext/>
        <w:pBdr>
          <w:top w:val="nil"/>
          <w:left w:val="nil"/>
          <w:bottom w:val="nil"/>
          <w:right w:val="nil"/>
          <w:between w:val="nil"/>
        </w:pBdr>
        <w:spacing w:before="20" w:line="240" w:lineRule="auto"/>
        <w:ind w:hanging="2"/>
        <w:jc w:val="center"/>
        <w:rPr>
          <w:rFonts w:cstheme="minorHAnsi"/>
        </w:rPr>
      </w:pPr>
      <w:r w:rsidRPr="0027399F">
        <w:rPr>
          <w:rFonts w:cstheme="minorHAnsi"/>
          <w:noProof/>
        </w:rPr>
        <w:drawing>
          <wp:inline distT="0" distB="0" distL="0" distR="0" wp14:anchorId="21463B78" wp14:editId="2360627C">
            <wp:extent cx="5876925" cy="2657475"/>
            <wp:effectExtent l="0" t="0" r="0" b="0"/>
            <wp:docPr id="1241691752" name="drawing" descr="A diagram of a cell membra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691752" name="drawing" descr="A diagram of a cell membran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876925" cy="2657475"/>
                    </a:xfrm>
                    <a:prstGeom prst="rect">
                      <a:avLst/>
                    </a:prstGeom>
                  </pic:spPr>
                </pic:pic>
              </a:graphicData>
            </a:graphic>
          </wp:inline>
        </w:drawing>
      </w:r>
    </w:p>
    <w:p w14:paraId="5792C2C8" w14:textId="77777777" w:rsidR="0027399F" w:rsidRPr="0027399F" w:rsidRDefault="0027399F" w:rsidP="0027399F">
      <w:pPr>
        <w:pStyle w:val="Caption"/>
        <w:ind w:left="0" w:hanging="2"/>
        <w:jc w:val="center"/>
        <w:rPr>
          <w:rFonts w:asciiTheme="minorHAnsi" w:eastAsia="Arial" w:hAnsiTheme="minorHAnsi" w:cstheme="minorHAnsi"/>
          <w:color w:val="000000" w:themeColor="text1"/>
          <w:sz w:val="22"/>
          <w:szCs w:val="22"/>
          <w:lang w:val="en-GB"/>
        </w:rPr>
      </w:pPr>
      <w:r w:rsidRPr="0027399F">
        <w:rPr>
          <w:rFonts w:asciiTheme="minorHAnsi" w:hAnsiTheme="minorHAnsi" w:cstheme="minorHAnsi"/>
          <w:sz w:val="22"/>
          <w:szCs w:val="22"/>
        </w:rPr>
        <w:t xml:space="preserve">Figure </w:t>
      </w:r>
      <w:r w:rsidRPr="0027399F">
        <w:rPr>
          <w:rFonts w:asciiTheme="minorHAnsi" w:hAnsiTheme="minorHAnsi" w:cstheme="minorHAnsi"/>
          <w:sz w:val="22"/>
          <w:szCs w:val="22"/>
        </w:rPr>
        <w:fldChar w:fldCharType="begin"/>
      </w:r>
      <w:r w:rsidRPr="0027399F">
        <w:rPr>
          <w:rFonts w:asciiTheme="minorHAnsi" w:hAnsiTheme="minorHAnsi" w:cstheme="minorHAnsi"/>
          <w:sz w:val="22"/>
          <w:szCs w:val="22"/>
        </w:rPr>
        <w:instrText xml:space="preserve"> SEQ Figure \* ARABIC </w:instrText>
      </w:r>
      <w:r w:rsidRPr="0027399F">
        <w:rPr>
          <w:rFonts w:asciiTheme="minorHAnsi" w:hAnsiTheme="minorHAnsi" w:cstheme="minorHAnsi"/>
          <w:sz w:val="22"/>
          <w:szCs w:val="22"/>
        </w:rPr>
        <w:fldChar w:fldCharType="separate"/>
      </w:r>
      <w:r w:rsidRPr="0027399F">
        <w:rPr>
          <w:rFonts w:asciiTheme="minorHAnsi" w:hAnsiTheme="minorHAnsi" w:cstheme="minorHAnsi"/>
          <w:noProof/>
          <w:sz w:val="22"/>
          <w:szCs w:val="22"/>
        </w:rPr>
        <w:t>1</w:t>
      </w:r>
      <w:r w:rsidRPr="0027399F">
        <w:rPr>
          <w:rFonts w:asciiTheme="minorHAnsi" w:hAnsiTheme="minorHAnsi" w:cstheme="minorHAnsi"/>
          <w:noProof/>
          <w:sz w:val="22"/>
          <w:szCs w:val="22"/>
        </w:rPr>
        <w:fldChar w:fldCharType="end"/>
      </w:r>
      <w:r w:rsidRPr="0027399F">
        <w:rPr>
          <w:rFonts w:asciiTheme="minorHAnsi" w:hAnsiTheme="minorHAnsi" w:cstheme="minorHAnsi"/>
          <w:sz w:val="22"/>
          <w:szCs w:val="22"/>
        </w:rPr>
        <w:t>: Examples of Omics data types</w:t>
      </w:r>
    </w:p>
    <w:p w14:paraId="2BE5955D" w14:textId="5E284F9C" w:rsidR="0027399F" w:rsidRPr="0027399F" w:rsidRDefault="0027399F" w:rsidP="0027399F">
      <w:pPr>
        <w:pBdr>
          <w:top w:val="nil"/>
          <w:left w:val="nil"/>
          <w:bottom w:val="nil"/>
          <w:right w:val="nil"/>
          <w:between w:val="nil"/>
        </w:pBdr>
        <w:spacing w:before="20" w:line="240" w:lineRule="auto"/>
        <w:jc w:val="both"/>
        <w:rPr>
          <w:rFonts w:eastAsia="Arial" w:cstheme="minorHAnsi"/>
          <w:color w:val="000000" w:themeColor="text1"/>
          <w:lang w:val="en-GB"/>
        </w:rPr>
      </w:pPr>
      <w:r w:rsidRPr="0027399F">
        <w:rPr>
          <w:rFonts w:eastAsia="Arial" w:cstheme="minorHAnsi"/>
          <w:color w:val="000000" w:themeColor="text1"/>
          <w:lang w:val="en-GB"/>
        </w:rPr>
        <w:t>Although current clinical trial protocols may not heavily rely on biomarkers as primary or secondary endpoints, the industry is increasingly shifting towards more targeted and personalized approaches on a patient’s biology and DNA. This trend underscores the growing importance of multi-omics data in clinical development.</w:t>
      </w:r>
    </w:p>
    <w:p w14:paraId="0CCB26E4" w14:textId="5CD478BA" w:rsidR="0027399F" w:rsidRPr="0027399F" w:rsidRDefault="0027399F" w:rsidP="0027399F">
      <w:pPr>
        <w:pBdr>
          <w:top w:val="nil"/>
          <w:left w:val="nil"/>
          <w:bottom w:val="nil"/>
          <w:right w:val="nil"/>
          <w:between w:val="nil"/>
        </w:pBdr>
        <w:spacing w:before="20" w:line="240" w:lineRule="auto"/>
        <w:ind w:hanging="2"/>
        <w:jc w:val="both"/>
        <w:rPr>
          <w:rFonts w:eastAsia="Arial" w:cstheme="minorHAnsi"/>
          <w:color w:val="000000" w:themeColor="text1"/>
        </w:rPr>
      </w:pPr>
      <w:r w:rsidRPr="0027399F">
        <w:rPr>
          <w:rFonts w:eastAsia="Arial" w:cstheme="minorHAnsi"/>
          <w:color w:val="000000" w:themeColor="text1"/>
        </w:rPr>
        <w:t xml:space="preserve">As the volume and complexity of multi-modal healthcare (healthcare delivered through a plurality of modalities) data expands, there is a pressing need for standardized methodologies and interoperable solutions to support seamless integration. </w:t>
      </w:r>
    </w:p>
    <w:p w14:paraId="4FA50963" w14:textId="33A50598" w:rsidR="0027399F" w:rsidRPr="0027399F" w:rsidRDefault="0027399F" w:rsidP="0027399F">
      <w:pPr>
        <w:pBdr>
          <w:top w:val="nil"/>
          <w:left w:val="nil"/>
          <w:bottom w:val="nil"/>
          <w:right w:val="nil"/>
          <w:between w:val="nil"/>
        </w:pBdr>
        <w:spacing w:before="20" w:line="240" w:lineRule="auto"/>
        <w:ind w:hanging="2"/>
        <w:jc w:val="both"/>
        <w:rPr>
          <w:rFonts w:eastAsia="Arial" w:cstheme="minorHAnsi"/>
          <w:color w:val="000000" w:themeColor="text1"/>
        </w:rPr>
      </w:pPr>
      <w:r w:rsidRPr="0027399F">
        <w:rPr>
          <w:rFonts w:eastAsia="Arial" w:cstheme="minorHAnsi"/>
          <w:color w:val="000000" w:themeColor="text1"/>
        </w:rPr>
        <w:t xml:space="preserve">Just as standards like CDISC, GA4GH, HL7, ISO Genomics Informatics Sub-Committee (SC1) </w:t>
      </w:r>
      <w:r w:rsidRPr="0027399F">
        <w:rPr>
          <w:rFonts w:eastAsia="Arial" w:cstheme="minorHAnsi"/>
          <w:color w:val="000000" w:themeColor="text1"/>
          <w:lang w:val="en-GB"/>
        </w:rPr>
        <w:t>[</w:t>
      </w:r>
      <w:hyperlink r:id="rId12">
        <w:r w:rsidRPr="0027399F">
          <w:rPr>
            <w:rStyle w:val="Hyperlink"/>
            <w:rFonts w:eastAsia="Arial" w:cstheme="minorHAnsi"/>
            <w:lang w:val="en-GB"/>
          </w:rPr>
          <w:t>Ref 1</w:t>
        </w:r>
      </w:hyperlink>
      <w:r w:rsidRPr="0027399F">
        <w:rPr>
          <w:rFonts w:eastAsia="Arial" w:cstheme="minorHAnsi"/>
          <w:color w:val="000000" w:themeColor="text1"/>
          <w:lang w:val="en-GB"/>
        </w:rPr>
        <w:t>]</w:t>
      </w:r>
      <w:r w:rsidRPr="0027399F">
        <w:rPr>
          <w:rFonts w:eastAsia="Arial" w:cstheme="minorHAnsi"/>
          <w:color w:val="000000" w:themeColor="text1"/>
        </w:rPr>
        <w:t xml:space="preserve">, SNOMED, </w:t>
      </w:r>
      <w:proofErr w:type="spellStart"/>
      <w:r w:rsidRPr="0027399F">
        <w:rPr>
          <w:rFonts w:eastAsia="Arial" w:cstheme="minorHAnsi"/>
          <w:color w:val="000000" w:themeColor="text1"/>
        </w:rPr>
        <w:t>etc</w:t>
      </w:r>
      <w:proofErr w:type="spellEnd"/>
      <w:r w:rsidRPr="0027399F">
        <w:rPr>
          <w:rFonts w:eastAsia="Arial" w:cstheme="minorHAnsi"/>
          <w:color w:val="000000" w:themeColor="text1"/>
        </w:rPr>
        <w:t xml:space="preserve"> exist for omics as well as clinical data, a robust framework is needed to address the integration of:</w:t>
      </w:r>
    </w:p>
    <w:p w14:paraId="096605BE" w14:textId="77777777" w:rsidR="0027399F" w:rsidRPr="0027399F" w:rsidRDefault="0027399F" w:rsidP="0027399F">
      <w:pPr>
        <w:pStyle w:val="ListParagraph"/>
        <w:numPr>
          <w:ilvl w:val="0"/>
          <w:numId w:val="2"/>
        </w:numPr>
        <w:pBdr>
          <w:top w:val="nil"/>
          <w:left w:val="nil"/>
          <w:bottom w:val="nil"/>
          <w:right w:val="nil"/>
          <w:between w:val="nil"/>
        </w:pBdr>
        <w:suppressAutoHyphens/>
        <w:spacing w:before="20" w:after="0" w:line="240" w:lineRule="auto"/>
        <w:jc w:val="both"/>
        <w:textDirection w:val="btLr"/>
        <w:textAlignment w:val="top"/>
        <w:outlineLvl w:val="0"/>
        <w:rPr>
          <w:rFonts w:eastAsia="Arial" w:cstheme="minorHAnsi"/>
          <w:color w:val="000000" w:themeColor="text1"/>
        </w:rPr>
      </w:pPr>
      <w:r w:rsidRPr="0027399F">
        <w:rPr>
          <w:rFonts w:eastAsia="Arial" w:cstheme="minorHAnsi"/>
          <w:b/>
          <w:bCs/>
          <w:color w:val="000000" w:themeColor="text1"/>
          <w:lang w:val="en-GB"/>
        </w:rPr>
        <w:t>Omics Data</w:t>
      </w:r>
      <w:r w:rsidRPr="0027399F">
        <w:rPr>
          <w:rFonts w:eastAsia="Arial" w:cstheme="minorHAnsi"/>
          <w:color w:val="000000" w:themeColor="text1"/>
          <w:lang w:val="en-GB"/>
        </w:rPr>
        <w:t>: Genomics (DNA), Transcriptomics (RNA), Proteomics (proteins), Metabolomics (metabolites), Epigenomics (DNA modifications)</w:t>
      </w:r>
    </w:p>
    <w:p w14:paraId="29F6F748" w14:textId="77777777" w:rsidR="0027399F" w:rsidRPr="0027399F" w:rsidRDefault="0027399F" w:rsidP="0027399F">
      <w:pPr>
        <w:pStyle w:val="ListParagraph"/>
        <w:numPr>
          <w:ilvl w:val="0"/>
          <w:numId w:val="2"/>
        </w:numPr>
        <w:pBdr>
          <w:top w:val="nil"/>
          <w:left w:val="nil"/>
          <w:bottom w:val="nil"/>
          <w:right w:val="nil"/>
          <w:between w:val="nil"/>
        </w:pBdr>
        <w:suppressAutoHyphens/>
        <w:spacing w:before="20" w:after="0" w:line="240" w:lineRule="auto"/>
        <w:jc w:val="both"/>
        <w:textDirection w:val="btLr"/>
        <w:textAlignment w:val="top"/>
        <w:outlineLvl w:val="0"/>
        <w:rPr>
          <w:rFonts w:eastAsia="Arial" w:cstheme="minorHAnsi"/>
          <w:color w:val="000000" w:themeColor="text1"/>
        </w:rPr>
      </w:pPr>
      <w:r w:rsidRPr="0027399F">
        <w:rPr>
          <w:rFonts w:eastAsia="Arial" w:cstheme="minorHAnsi"/>
          <w:b/>
          <w:bCs/>
          <w:color w:val="000000" w:themeColor="text1"/>
          <w:lang w:val="en-GB"/>
        </w:rPr>
        <w:t>Clinical Trial and Research Data</w:t>
      </w:r>
    </w:p>
    <w:p w14:paraId="027953E9" w14:textId="77777777" w:rsidR="0027399F" w:rsidRPr="0027399F" w:rsidRDefault="0027399F" w:rsidP="0027399F">
      <w:pPr>
        <w:pStyle w:val="ListParagraph"/>
        <w:numPr>
          <w:ilvl w:val="0"/>
          <w:numId w:val="2"/>
        </w:numPr>
        <w:pBdr>
          <w:top w:val="nil"/>
          <w:left w:val="nil"/>
          <w:bottom w:val="nil"/>
          <w:right w:val="nil"/>
          <w:between w:val="nil"/>
        </w:pBdr>
        <w:suppressAutoHyphens/>
        <w:spacing w:before="20" w:after="0" w:line="240" w:lineRule="auto"/>
        <w:jc w:val="both"/>
        <w:textDirection w:val="btLr"/>
        <w:textAlignment w:val="top"/>
        <w:outlineLvl w:val="0"/>
        <w:rPr>
          <w:rFonts w:eastAsia="Arial" w:cstheme="minorHAnsi"/>
          <w:color w:val="000000" w:themeColor="text1"/>
        </w:rPr>
      </w:pPr>
      <w:r w:rsidRPr="0027399F">
        <w:rPr>
          <w:rFonts w:eastAsia="Arial" w:cstheme="minorHAnsi"/>
          <w:b/>
          <w:bCs/>
          <w:color w:val="000000" w:themeColor="text1"/>
          <w:lang w:val="en-GB"/>
        </w:rPr>
        <w:t>Clinical Data</w:t>
      </w:r>
    </w:p>
    <w:p w14:paraId="0CD20793" w14:textId="67855812" w:rsidR="0027399F" w:rsidRPr="0027399F" w:rsidRDefault="0027399F" w:rsidP="0027399F">
      <w:pPr>
        <w:pStyle w:val="ListParagraph"/>
        <w:numPr>
          <w:ilvl w:val="0"/>
          <w:numId w:val="2"/>
        </w:numPr>
        <w:pBdr>
          <w:top w:val="nil"/>
          <w:left w:val="nil"/>
          <w:bottom w:val="nil"/>
          <w:right w:val="nil"/>
          <w:between w:val="nil"/>
        </w:pBdr>
        <w:suppressAutoHyphens/>
        <w:spacing w:before="20" w:after="0" w:line="240" w:lineRule="auto"/>
        <w:jc w:val="both"/>
        <w:textDirection w:val="btLr"/>
        <w:textAlignment w:val="top"/>
        <w:outlineLvl w:val="0"/>
        <w:rPr>
          <w:rFonts w:eastAsia="Arial" w:cstheme="minorHAnsi"/>
          <w:color w:val="000000" w:themeColor="text1"/>
        </w:rPr>
      </w:pPr>
      <w:r w:rsidRPr="0027399F">
        <w:rPr>
          <w:rFonts w:eastAsia="Arial" w:cstheme="minorHAnsi"/>
          <w:b/>
          <w:bCs/>
          <w:color w:val="000000" w:themeColor="text1"/>
          <w:lang w:val="fr-FR"/>
        </w:rPr>
        <w:t>Non-</w:t>
      </w:r>
      <w:proofErr w:type="spellStart"/>
      <w:r w:rsidRPr="0027399F">
        <w:rPr>
          <w:rFonts w:eastAsia="Arial" w:cstheme="minorHAnsi"/>
          <w:b/>
          <w:bCs/>
          <w:color w:val="000000" w:themeColor="text1"/>
          <w:lang w:val="fr-FR"/>
        </w:rPr>
        <w:t>Clinical</w:t>
      </w:r>
      <w:proofErr w:type="spellEnd"/>
      <w:r w:rsidRPr="0027399F">
        <w:rPr>
          <w:rFonts w:eastAsia="Arial" w:cstheme="minorHAnsi"/>
          <w:b/>
          <w:bCs/>
          <w:color w:val="000000" w:themeColor="text1"/>
          <w:lang w:val="fr-FR"/>
        </w:rPr>
        <w:t xml:space="preserve"> Data</w:t>
      </w:r>
    </w:p>
    <w:p w14:paraId="763E68A2" w14:textId="34A4AC77" w:rsidR="0027399F" w:rsidRPr="0027399F" w:rsidRDefault="0027399F" w:rsidP="0027399F">
      <w:pPr>
        <w:pBdr>
          <w:top w:val="nil"/>
          <w:left w:val="nil"/>
          <w:bottom w:val="nil"/>
          <w:right w:val="nil"/>
          <w:between w:val="nil"/>
        </w:pBdr>
        <w:spacing w:before="20" w:line="240" w:lineRule="auto"/>
        <w:ind w:hanging="2"/>
        <w:jc w:val="both"/>
        <w:rPr>
          <w:rFonts w:eastAsia="Arial" w:cstheme="minorHAnsi"/>
          <w:color w:val="000000" w:themeColor="text1"/>
          <w:lang w:val="en-GB"/>
        </w:rPr>
      </w:pPr>
      <w:r w:rsidRPr="0027399F">
        <w:rPr>
          <w:rFonts w:eastAsia="Arial" w:cstheme="minorHAnsi"/>
          <w:color w:val="000000" w:themeColor="text1"/>
          <w:lang w:val="en-GB"/>
        </w:rPr>
        <w:t>Establishing such standards across the industry would:</w:t>
      </w:r>
    </w:p>
    <w:p w14:paraId="5341078F" w14:textId="77777777" w:rsidR="0027399F" w:rsidRPr="0027399F" w:rsidRDefault="0027399F" w:rsidP="0027399F">
      <w:pPr>
        <w:pStyle w:val="ListParagraph"/>
        <w:numPr>
          <w:ilvl w:val="0"/>
          <w:numId w:val="3"/>
        </w:numPr>
        <w:pBdr>
          <w:top w:val="nil"/>
          <w:left w:val="nil"/>
          <w:bottom w:val="nil"/>
          <w:right w:val="nil"/>
          <w:between w:val="nil"/>
        </w:pBdr>
        <w:suppressAutoHyphens/>
        <w:spacing w:before="20" w:after="0" w:line="240" w:lineRule="auto"/>
        <w:jc w:val="both"/>
        <w:textDirection w:val="btLr"/>
        <w:textAlignment w:val="top"/>
        <w:outlineLvl w:val="0"/>
        <w:rPr>
          <w:rFonts w:eastAsia="Arial" w:cstheme="minorHAnsi"/>
          <w:color w:val="000000" w:themeColor="text1"/>
        </w:rPr>
      </w:pPr>
      <w:r w:rsidRPr="0027399F">
        <w:rPr>
          <w:rFonts w:eastAsia="Arial" w:cstheme="minorHAnsi"/>
          <w:b/>
          <w:bCs/>
          <w:color w:val="000000" w:themeColor="text1"/>
          <w:lang w:val="en-GB"/>
        </w:rPr>
        <w:t>Promote Interoperability</w:t>
      </w:r>
      <w:r w:rsidRPr="0027399F">
        <w:rPr>
          <w:rFonts w:eastAsia="Arial" w:cstheme="minorHAnsi"/>
          <w:color w:val="000000" w:themeColor="text1"/>
          <w:lang w:val="en-GB"/>
        </w:rPr>
        <w:t>: Harmonize data standards, ontologies, and formats across omics, clinical (EHR, imaging, lab tests), and non-clinical sources (lifestyle, environmental, social determinants of health).</w:t>
      </w:r>
    </w:p>
    <w:p w14:paraId="00CBEAC5" w14:textId="77777777" w:rsidR="0027399F" w:rsidRPr="0027399F" w:rsidRDefault="0027399F" w:rsidP="0027399F">
      <w:pPr>
        <w:pStyle w:val="ListParagraph"/>
        <w:numPr>
          <w:ilvl w:val="0"/>
          <w:numId w:val="3"/>
        </w:numPr>
        <w:pBdr>
          <w:top w:val="nil"/>
          <w:left w:val="nil"/>
          <w:bottom w:val="nil"/>
          <w:right w:val="nil"/>
          <w:between w:val="nil"/>
        </w:pBdr>
        <w:suppressAutoHyphens/>
        <w:spacing w:before="20" w:after="0" w:line="240" w:lineRule="auto"/>
        <w:jc w:val="both"/>
        <w:textDirection w:val="btLr"/>
        <w:textAlignment w:val="top"/>
        <w:outlineLvl w:val="0"/>
        <w:rPr>
          <w:rFonts w:eastAsia="Arial" w:cstheme="minorHAnsi"/>
          <w:color w:val="000000" w:themeColor="text1"/>
        </w:rPr>
      </w:pPr>
      <w:r w:rsidRPr="0027399F">
        <w:rPr>
          <w:rFonts w:eastAsia="Arial" w:cstheme="minorHAnsi"/>
          <w:b/>
          <w:bCs/>
          <w:color w:val="000000" w:themeColor="text1"/>
          <w:lang w:val="en-GB"/>
        </w:rPr>
        <w:lastRenderedPageBreak/>
        <w:t>Facilitate Technical Integration</w:t>
      </w:r>
      <w:r w:rsidRPr="0027399F">
        <w:rPr>
          <w:rFonts w:eastAsia="Arial" w:cstheme="minorHAnsi"/>
          <w:color w:val="000000" w:themeColor="text1"/>
          <w:lang w:val="en-GB"/>
        </w:rPr>
        <w:t>: Provide guidance on data warehousing, pipeline development, linking techniques, and the use of AI/ML for extracting insights.</w:t>
      </w:r>
    </w:p>
    <w:p w14:paraId="7F368C7C" w14:textId="6D5D7A0D" w:rsidR="0027399F" w:rsidRPr="0027399F" w:rsidRDefault="0027399F" w:rsidP="0027399F">
      <w:pPr>
        <w:pStyle w:val="ListParagraph"/>
        <w:numPr>
          <w:ilvl w:val="0"/>
          <w:numId w:val="3"/>
        </w:numPr>
        <w:pBdr>
          <w:top w:val="nil"/>
          <w:left w:val="nil"/>
          <w:bottom w:val="nil"/>
          <w:right w:val="nil"/>
          <w:between w:val="nil"/>
        </w:pBdr>
        <w:suppressAutoHyphens/>
        <w:spacing w:before="20" w:after="0" w:line="240" w:lineRule="auto"/>
        <w:jc w:val="both"/>
        <w:textDirection w:val="btLr"/>
        <w:textAlignment w:val="top"/>
        <w:outlineLvl w:val="0"/>
        <w:rPr>
          <w:rFonts w:eastAsia="Arial" w:cstheme="minorHAnsi"/>
          <w:color w:val="000000" w:themeColor="text1"/>
          <w:lang w:val="en-GB"/>
        </w:rPr>
      </w:pPr>
      <w:r w:rsidRPr="0027399F">
        <w:rPr>
          <w:rFonts w:eastAsia="Arial" w:cstheme="minorHAnsi"/>
          <w:b/>
          <w:bCs/>
          <w:color w:val="000000" w:themeColor="text1"/>
          <w:lang w:val="en-GB"/>
        </w:rPr>
        <w:t>Share Best Practices</w:t>
      </w:r>
      <w:r w:rsidRPr="0027399F">
        <w:rPr>
          <w:rFonts w:eastAsia="Arial" w:cstheme="minorHAnsi"/>
          <w:color w:val="000000" w:themeColor="text1"/>
          <w:lang w:val="en-GB"/>
        </w:rPr>
        <w:t>: Offer real-world examples, tools, and resources from existing integration efforts to inform future projects and collaborations.</w:t>
      </w:r>
    </w:p>
    <w:p w14:paraId="6AB875EE" w14:textId="77777777" w:rsidR="0027399F" w:rsidRPr="0027399F" w:rsidRDefault="0027399F" w:rsidP="0027399F">
      <w:pPr>
        <w:pBdr>
          <w:top w:val="nil"/>
          <w:left w:val="nil"/>
          <w:bottom w:val="nil"/>
          <w:right w:val="nil"/>
          <w:between w:val="nil"/>
        </w:pBdr>
        <w:spacing w:before="20" w:line="240" w:lineRule="auto"/>
        <w:ind w:hanging="2"/>
        <w:jc w:val="both"/>
        <w:rPr>
          <w:rFonts w:eastAsia="Arial" w:cstheme="minorHAnsi"/>
          <w:color w:val="000000" w:themeColor="text1"/>
          <w:lang w:val="en-GB"/>
        </w:rPr>
      </w:pPr>
      <w:r w:rsidRPr="0027399F">
        <w:rPr>
          <w:rFonts w:eastAsia="Arial" w:cstheme="minorHAnsi"/>
          <w:color w:val="000000" w:themeColor="text1"/>
          <w:lang w:val="en-GB"/>
        </w:rPr>
        <w:t xml:space="preserve">Ultimately, these efforts will accelerate the delivery of innovative therapies to patients by enabling more efficient and insightful research based in their pharmacogenomics. Additionally, cross-SDO coordination needs to be considered to establish interoperable “data bridges” from Genomics to Drug Discovery…to Clinical Research…to Regulated Clinical Trials…and ultimately to personalized Healthcare Delivery. As the </w:t>
      </w:r>
      <w:r w:rsidRPr="0027399F">
        <w:rPr>
          <w:rFonts w:eastAsia="Arial" w:cstheme="minorHAnsi"/>
          <w:i/>
          <w:iCs/>
          <w:color w:val="000000" w:themeColor="text1"/>
          <w:lang w:val="en-GB"/>
        </w:rPr>
        <w:t>Figure 2</w:t>
      </w:r>
      <w:r w:rsidRPr="0027399F">
        <w:rPr>
          <w:rFonts w:eastAsia="Arial" w:cstheme="minorHAnsi"/>
          <w:color w:val="000000" w:themeColor="text1"/>
          <w:lang w:val="en-GB"/>
        </w:rPr>
        <w:t xml:space="preserve"> depicts, there are many moving pieces across the SDO landscape. ISO SC1, GA4GH and HL7 have been collaborating and working to align standards </w:t>
      </w:r>
      <w:proofErr w:type="spellStart"/>
      <w:r w:rsidRPr="0027399F">
        <w:rPr>
          <w:rFonts w:eastAsia="Arial" w:cstheme="minorHAnsi"/>
          <w:color w:val="000000" w:themeColor="text1"/>
          <w:lang w:val="en-GB"/>
        </w:rPr>
        <w:t>ssince</w:t>
      </w:r>
      <w:proofErr w:type="spellEnd"/>
      <w:r w:rsidRPr="0027399F">
        <w:rPr>
          <w:rFonts w:eastAsia="Arial" w:cstheme="minorHAnsi"/>
          <w:color w:val="000000" w:themeColor="text1"/>
          <w:lang w:val="en-GB"/>
        </w:rPr>
        <w:t xml:space="preserve"> 2021. For instance, ISO 4454:2022 </w:t>
      </w:r>
      <w:proofErr w:type="spellStart"/>
      <w:r w:rsidRPr="0027399F">
        <w:rPr>
          <w:rFonts w:eastAsia="Arial" w:cstheme="minorHAnsi"/>
          <w:color w:val="000000" w:themeColor="text1"/>
          <w:u w:val="single"/>
          <w:lang w:val="en-GB"/>
        </w:rPr>
        <w:t>Phenopackets</w:t>
      </w:r>
      <w:proofErr w:type="spellEnd"/>
      <w:r w:rsidRPr="0027399F">
        <w:rPr>
          <w:rFonts w:eastAsia="Arial" w:cstheme="minorHAnsi"/>
          <w:color w:val="000000" w:themeColor="text1"/>
          <w:u w:val="single"/>
          <w:lang w:val="en-GB"/>
        </w:rPr>
        <w:t>: A format for phenotypic data exchange</w:t>
      </w:r>
      <w:r w:rsidRPr="0027399F">
        <w:rPr>
          <w:rFonts w:eastAsia="Arial" w:cstheme="minorHAnsi"/>
          <w:color w:val="000000" w:themeColor="text1"/>
          <w:lang w:val="en-GB"/>
        </w:rPr>
        <w:t xml:space="preserve"> was developed jointly between SC1 and the GA4GH community. </w:t>
      </w:r>
    </w:p>
    <w:p w14:paraId="41911DE0" w14:textId="77777777" w:rsidR="0027399F" w:rsidRPr="0027399F" w:rsidRDefault="0027399F" w:rsidP="0027399F">
      <w:pPr>
        <w:pBdr>
          <w:top w:val="nil"/>
          <w:left w:val="nil"/>
          <w:bottom w:val="nil"/>
          <w:right w:val="nil"/>
          <w:between w:val="nil"/>
        </w:pBdr>
        <w:spacing w:before="20" w:line="240" w:lineRule="auto"/>
        <w:ind w:hanging="2"/>
        <w:jc w:val="both"/>
        <w:rPr>
          <w:rFonts w:eastAsia="Arial" w:cstheme="minorHAnsi"/>
          <w:color w:val="000000" w:themeColor="text1"/>
          <w:lang w:val="en-GB"/>
        </w:rPr>
      </w:pPr>
    </w:p>
    <w:p w14:paraId="5AC71645" w14:textId="3FAABD74" w:rsidR="00DA5326" w:rsidRPr="0027399F" w:rsidRDefault="0027399F" w:rsidP="0027399F">
      <w:pPr>
        <w:pBdr>
          <w:top w:val="nil"/>
          <w:left w:val="nil"/>
          <w:bottom w:val="nil"/>
          <w:right w:val="nil"/>
          <w:between w:val="nil"/>
        </w:pBdr>
        <w:spacing w:before="20" w:line="240" w:lineRule="auto"/>
        <w:ind w:hanging="2"/>
        <w:jc w:val="both"/>
        <w:rPr>
          <w:rFonts w:eastAsia="Arial" w:cstheme="minorHAnsi"/>
          <w:color w:val="000000" w:themeColor="text1"/>
        </w:rPr>
      </w:pPr>
      <w:r w:rsidRPr="0027399F">
        <w:rPr>
          <w:rFonts w:eastAsia="Arial" w:cstheme="minorHAnsi"/>
          <w:color w:val="000000" w:themeColor="text1"/>
          <w:lang w:val="en-GB"/>
        </w:rPr>
        <w:t xml:space="preserve">The scope of this paper also focuses on cross SDO coordination, aligning standards activities and building data bridges between Genomics (e.g., ISO SC1) and Clinical Trials Research (e.g., FDA, IEEE </w:t>
      </w:r>
      <w:proofErr w:type="spellStart"/>
      <w:r w:rsidRPr="0027399F">
        <w:rPr>
          <w:rFonts w:eastAsia="Arial" w:cstheme="minorHAnsi"/>
          <w:color w:val="000000" w:themeColor="text1"/>
          <w:lang w:val="en-GB"/>
        </w:rPr>
        <w:t>BioCompute</w:t>
      </w:r>
      <w:proofErr w:type="spellEnd"/>
      <w:r w:rsidRPr="0027399F">
        <w:rPr>
          <w:rFonts w:eastAsia="Arial" w:cstheme="minorHAnsi"/>
          <w:color w:val="000000" w:themeColor="text1"/>
          <w:lang w:val="en-GB"/>
        </w:rPr>
        <w:t xml:space="preserve"> Standard [</w:t>
      </w:r>
      <w:hyperlink r:id="rId13">
        <w:r w:rsidRPr="0027399F">
          <w:rPr>
            <w:rStyle w:val="Hyperlink"/>
            <w:rFonts w:eastAsia="Arial" w:cstheme="minorHAnsi"/>
            <w:lang w:val="en-GB"/>
          </w:rPr>
          <w:t>Ref 2</w:t>
        </w:r>
      </w:hyperlink>
      <w:r w:rsidRPr="0027399F">
        <w:rPr>
          <w:rFonts w:eastAsia="Arial" w:cstheme="minorHAnsi"/>
          <w:color w:val="000000" w:themeColor="text1"/>
          <w:lang w:val="en-GB"/>
        </w:rPr>
        <w:t>])</w:t>
      </w:r>
    </w:p>
    <w:p w14:paraId="22AE42B0" w14:textId="3E55AD67" w:rsidR="00DA5326" w:rsidRPr="0027399F" w:rsidRDefault="00303464" w:rsidP="00DA5326">
      <w:pPr>
        <w:pStyle w:val="Heading1"/>
        <w:rPr>
          <w:rFonts w:asciiTheme="minorHAnsi" w:hAnsiTheme="minorHAnsi" w:cstheme="minorHAnsi"/>
        </w:rPr>
      </w:pPr>
      <w:bookmarkStart w:id="2" w:name="_Toc93493875"/>
      <w:r w:rsidRPr="0027399F">
        <w:rPr>
          <w:rFonts w:asciiTheme="minorHAnsi" w:hAnsiTheme="minorHAnsi" w:cstheme="minorHAnsi"/>
        </w:rPr>
        <w:t xml:space="preserve">3: </w:t>
      </w:r>
      <w:r w:rsidR="00DA5326" w:rsidRPr="0027399F">
        <w:rPr>
          <w:rFonts w:asciiTheme="minorHAnsi" w:hAnsiTheme="minorHAnsi" w:cstheme="minorHAnsi"/>
        </w:rPr>
        <w:t>Definitions:</w:t>
      </w:r>
      <w:bookmarkEnd w:id="2"/>
    </w:p>
    <w:p w14:paraId="69BDD5BB" w14:textId="4A5EF9CE" w:rsidR="0027399F" w:rsidRPr="0027399F" w:rsidRDefault="0027399F" w:rsidP="0027399F">
      <w:pPr>
        <w:pBdr>
          <w:top w:val="nil"/>
          <w:left w:val="nil"/>
          <w:bottom w:val="nil"/>
          <w:right w:val="nil"/>
          <w:between w:val="nil"/>
        </w:pBdr>
        <w:spacing w:before="20" w:line="240" w:lineRule="auto"/>
        <w:ind w:hanging="2"/>
        <w:jc w:val="both"/>
        <w:rPr>
          <w:rFonts w:eastAsia="Arial" w:cstheme="minorHAnsi"/>
          <w:color w:val="000000" w:themeColor="text1"/>
        </w:rPr>
      </w:pPr>
      <w:r w:rsidRPr="0027399F">
        <w:rPr>
          <w:rFonts w:eastAsia="Arial" w:cstheme="minorHAnsi"/>
          <w:b/>
          <w:bCs/>
          <w:color w:val="000000" w:themeColor="text1"/>
          <w:lang w:val="en-GB"/>
        </w:rPr>
        <w:t>Omics Data</w:t>
      </w:r>
      <w:r w:rsidRPr="0027399F">
        <w:rPr>
          <w:rFonts w:eastAsia="Arial" w:cstheme="minorHAnsi"/>
          <w:color w:val="000000" w:themeColor="text1"/>
          <w:lang w:val="en-GB"/>
        </w:rPr>
        <w:t>: High-dimensional biological datasets characterizing molecular components of organisms (collectively referred to as “omics”). This includes genomics (DNA sequence data), transcriptomics (RNA expression profiles), proteomics (protein expression profiles), metabolomics (metabolite profiles) and epigenomics (DNA Modification)</w:t>
      </w:r>
    </w:p>
    <w:p w14:paraId="24789A6D" w14:textId="38A22FB3" w:rsidR="0027399F" w:rsidRPr="0027399F" w:rsidRDefault="0027399F" w:rsidP="0027399F">
      <w:pPr>
        <w:pBdr>
          <w:top w:val="nil"/>
          <w:left w:val="nil"/>
          <w:bottom w:val="nil"/>
          <w:right w:val="nil"/>
          <w:between w:val="nil"/>
        </w:pBdr>
        <w:spacing w:before="20" w:line="240" w:lineRule="auto"/>
        <w:ind w:hanging="2"/>
        <w:jc w:val="both"/>
        <w:rPr>
          <w:rFonts w:eastAsia="Arial" w:cstheme="minorHAnsi"/>
          <w:color w:val="000000" w:themeColor="text1"/>
        </w:rPr>
      </w:pPr>
      <w:r w:rsidRPr="0027399F">
        <w:rPr>
          <w:rFonts w:eastAsia="Arial" w:cstheme="minorHAnsi"/>
          <w:b/>
          <w:bCs/>
          <w:color w:val="000000" w:themeColor="text1"/>
          <w:lang w:val="en-GB"/>
        </w:rPr>
        <w:t xml:space="preserve">Clinical Trial Data: </w:t>
      </w:r>
      <w:r w:rsidRPr="0027399F">
        <w:rPr>
          <w:rFonts w:eastAsia="Arial" w:cstheme="minorHAnsi"/>
          <w:color w:val="000000" w:themeColor="text1"/>
          <w:lang w:val="en-GB"/>
        </w:rPr>
        <w:t xml:space="preserve">Clinical trial data are structured datasets collected under controlled conditions during clinical studies to evaluate the safety and efficacy of medical interventions, following regulatory standards such as CDISC SDTM and </w:t>
      </w:r>
      <w:proofErr w:type="spellStart"/>
      <w:r w:rsidRPr="0027399F">
        <w:rPr>
          <w:rFonts w:eastAsia="Arial" w:cstheme="minorHAnsi"/>
          <w:color w:val="000000" w:themeColor="text1"/>
          <w:lang w:val="en-GB"/>
        </w:rPr>
        <w:t>ADaM</w:t>
      </w:r>
      <w:proofErr w:type="spellEnd"/>
      <w:r w:rsidRPr="0027399F">
        <w:rPr>
          <w:rFonts w:eastAsia="Arial" w:cstheme="minorHAnsi"/>
          <w:color w:val="000000" w:themeColor="text1"/>
          <w:lang w:val="en-GB"/>
        </w:rPr>
        <w:t>. CDISC standards are required by the FDA (U.S.) and PMDA (Japan) to support regulatory submissions and ensure data consistency, interoperability, and review readiness.</w:t>
      </w:r>
      <w:r w:rsidRPr="0027399F">
        <w:rPr>
          <w:rFonts w:eastAsia="Arial" w:cstheme="minorHAnsi"/>
          <w:color w:val="000000" w:themeColor="text1"/>
        </w:rPr>
        <w:t xml:space="preserve"> </w:t>
      </w:r>
      <w:r w:rsidRPr="0027399F">
        <w:rPr>
          <w:rFonts w:eastAsia="Arial" w:cstheme="minorHAnsi"/>
          <w:color w:val="000000" w:themeColor="text1"/>
          <w:lang w:val="en-GB"/>
        </w:rPr>
        <w:t>CDISC is increasingly being adopted or recommended by the EMA (Europe) and NMPA (China).</w:t>
      </w:r>
    </w:p>
    <w:p w14:paraId="5AC1669E" w14:textId="410CB407" w:rsidR="0027399F" w:rsidRPr="0027399F" w:rsidRDefault="0027399F" w:rsidP="0027399F">
      <w:pPr>
        <w:pBdr>
          <w:top w:val="nil"/>
          <w:left w:val="nil"/>
          <w:bottom w:val="nil"/>
          <w:right w:val="nil"/>
          <w:between w:val="nil"/>
        </w:pBdr>
        <w:spacing w:before="20" w:line="240" w:lineRule="auto"/>
        <w:ind w:hanging="2"/>
        <w:jc w:val="both"/>
        <w:rPr>
          <w:rFonts w:eastAsia="Arial" w:cstheme="minorHAnsi"/>
          <w:color w:val="000000" w:themeColor="text1"/>
        </w:rPr>
      </w:pPr>
      <w:r w:rsidRPr="0027399F">
        <w:rPr>
          <w:rFonts w:eastAsia="Arial" w:cstheme="minorHAnsi"/>
          <w:b/>
          <w:bCs/>
          <w:color w:val="000000" w:themeColor="text1"/>
        </w:rPr>
        <w:t>Clinical Data</w:t>
      </w:r>
      <w:r w:rsidRPr="0027399F">
        <w:rPr>
          <w:rFonts w:eastAsia="Arial" w:cstheme="minorHAnsi"/>
          <w:color w:val="000000" w:themeColor="text1"/>
        </w:rPr>
        <w:t>: Health-related information collected during routine medical care, such as diagnoses, treatments, laboratory results, and imaging, typically recorded in electronic health records (EHRs).</w:t>
      </w:r>
    </w:p>
    <w:p w14:paraId="0B5D6ADD" w14:textId="1F634DC2" w:rsidR="0027399F" w:rsidRPr="0027399F" w:rsidRDefault="0027399F" w:rsidP="0027399F">
      <w:pPr>
        <w:pBdr>
          <w:top w:val="nil"/>
          <w:left w:val="nil"/>
          <w:bottom w:val="nil"/>
          <w:right w:val="nil"/>
          <w:between w:val="nil"/>
        </w:pBdr>
        <w:spacing w:before="20" w:line="240" w:lineRule="auto"/>
        <w:ind w:hanging="2"/>
        <w:jc w:val="both"/>
        <w:rPr>
          <w:rFonts w:eastAsia="Arial" w:cstheme="minorHAnsi"/>
          <w:color w:val="000000" w:themeColor="text1"/>
        </w:rPr>
      </w:pPr>
      <w:r w:rsidRPr="0027399F">
        <w:rPr>
          <w:rFonts w:eastAsia="Arial" w:cstheme="minorHAnsi"/>
          <w:b/>
          <w:bCs/>
          <w:color w:val="000000" w:themeColor="text1"/>
        </w:rPr>
        <w:t>Non-Clinical Data</w:t>
      </w:r>
      <w:r w:rsidRPr="0027399F">
        <w:rPr>
          <w:rFonts w:eastAsia="Arial" w:cstheme="minorHAnsi"/>
          <w:color w:val="000000" w:themeColor="text1"/>
        </w:rPr>
        <w:t>: For purpose of this paper, it refers to d</w:t>
      </w:r>
      <w:proofErr w:type="spellStart"/>
      <w:r w:rsidRPr="0027399F">
        <w:rPr>
          <w:rFonts w:eastAsia="Arial" w:cstheme="minorHAnsi"/>
          <w:color w:val="000000" w:themeColor="text1"/>
          <w:lang w:val="en-GB"/>
        </w:rPr>
        <w:t>ata</w:t>
      </w:r>
      <w:proofErr w:type="spellEnd"/>
      <w:r w:rsidRPr="0027399F">
        <w:rPr>
          <w:rFonts w:eastAsia="Arial" w:cstheme="minorHAnsi"/>
          <w:color w:val="000000" w:themeColor="text1"/>
          <w:lang w:val="en-GB"/>
        </w:rPr>
        <w:t xml:space="preserve"> </w:t>
      </w:r>
      <w:r w:rsidRPr="0027399F">
        <w:rPr>
          <w:rFonts w:eastAsia="Arial" w:cstheme="minorHAnsi"/>
          <w:i/>
          <w:iCs/>
          <w:color w:val="000000" w:themeColor="text1"/>
          <w:lang w:val="en-GB"/>
        </w:rPr>
        <w:t>not</w:t>
      </w:r>
      <w:r w:rsidRPr="0027399F">
        <w:rPr>
          <w:rFonts w:eastAsia="Arial" w:cstheme="minorHAnsi"/>
          <w:color w:val="000000" w:themeColor="text1"/>
          <w:lang w:val="en-GB"/>
        </w:rPr>
        <w:t xml:space="preserve"> collected as part of conventional clinical trial CRFs or EHRs. This includes external and other contextual information. Examples include medical imaging data, laboratory or biomarker data obtained outside the trial protocol, etc.</w:t>
      </w:r>
    </w:p>
    <w:p w14:paraId="441B52BB" w14:textId="706ABC7A" w:rsidR="0027399F" w:rsidRPr="0027399F" w:rsidRDefault="0027399F" w:rsidP="0027399F">
      <w:pPr>
        <w:pBdr>
          <w:top w:val="nil"/>
          <w:left w:val="nil"/>
          <w:bottom w:val="nil"/>
          <w:right w:val="nil"/>
          <w:between w:val="nil"/>
        </w:pBdr>
        <w:spacing w:before="20" w:line="240" w:lineRule="auto"/>
        <w:ind w:hanging="2"/>
        <w:jc w:val="both"/>
        <w:rPr>
          <w:rFonts w:eastAsia="Arial" w:cstheme="minorHAnsi"/>
          <w:color w:val="000000" w:themeColor="text1"/>
        </w:rPr>
      </w:pPr>
      <w:r w:rsidRPr="0027399F">
        <w:rPr>
          <w:rFonts w:eastAsia="Arial" w:cstheme="minorHAnsi"/>
          <w:b/>
          <w:bCs/>
          <w:color w:val="000000" w:themeColor="text1"/>
          <w:lang w:val="en-GB"/>
        </w:rPr>
        <w:t>Multi-dimensional Data:</w:t>
      </w:r>
      <w:r w:rsidRPr="0027399F">
        <w:rPr>
          <w:rFonts w:eastAsia="Arial" w:cstheme="minorHAnsi"/>
          <w:color w:val="000000" w:themeColor="text1"/>
          <w:lang w:val="en-GB"/>
        </w:rPr>
        <w:t xml:space="preserve"> Two or more high dimensional datasets (for example, genomics and transcriptomics data). When analyses query multiple high dimensional datasets, complexity can quickly explode. Solutions are needed to manage complexity spread across multiple datasets.</w:t>
      </w:r>
    </w:p>
    <w:p w14:paraId="5F87C6AA" w14:textId="58C3F3BF" w:rsidR="0027399F" w:rsidRPr="0027399F" w:rsidRDefault="0027399F" w:rsidP="0027399F">
      <w:pPr>
        <w:pBdr>
          <w:top w:val="nil"/>
          <w:left w:val="nil"/>
          <w:bottom w:val="nil"/>
          <w:right w:val="nil"/>
          <w:between w:val="nil"/>
        </w:pBdr>
        <w:spacing w:before="20" w:line="240" w:lineRule="auto"/>
        <w:ind w:hanging="2"/>
        <w:jc w:val="both"/>
        <w:rPr>
          <w:rFonts w:eastAsia="Arial" w:cstheme="minorHAnsi"/>
          <w:color w:val="000000" w:themeColor="text1"/>
        </w:rPr>
      </w:pPr>
      <w:r w:rsidRPr="0027399F">
        <w:rPr>
          <w:rFonts w:eastAsia="Arial" w:cstheme="minorHAnsi"/>
          <w:b/>
          <w:bCs/>
          <w:color w:val="000000" w:themeColor="text1"/>
          <w:lang w:val="en-GB"/>
        </w:rPr>
        <w:lastRenderedPageBreak/>
        <w:t>Personalized Medicine:</w:t>
      </w:r>
      <w:r w:rsidRPr="0027399F">
        <w:rPr>
          <w:rFonts w:eastAsia="Arial" w:cstheme="minorHAnsi"/>
          <w:color w:val="000000" w:themeColor="text1"/>
          <w:lang w:val="en-GB"/>
        </w:rPr>
        <w:t xml:space="preserve"> This term is synonymous with “precision medicine.” However, some clinicians and researchers feel the latter term has been oversold in recent years while little actual progress has been realized, we use “personalized medicine” in this document and follow the US FDA definition – “The right medication for the right patient at the right time” [</w:t>
      </w:r>
      <w:hyperlink r:id="rId14">
        <w:r w:rsidRPr="0027399F">
          <w:rPr>
            <w:rStyle w:val="Hyperlink"/>
            <w:rFonts w:eastAsia="Arial" w:cstheme="minorHAnsi"/>
            <w:lang w:val="en-GB"/>
          </w:rPr>
          <w:t>Ref 3</w:t>
        </w:r>
      </w:hyperlink>
      <w:r w:rsidRPr="0027399F">
        <w:rPr>
          <w:rFonts w:eastAsia="Arial" w:cstheme="minorHAnsi"/>
          <w:color w:val="000000" w:themeColor="text1"/>
          <w:lang w:val="en-GB"/>
        </w:rPr>
        <w:t xml:space="preserve">]. As truly interoperable large datasets come online and analyses become advanced enough to handle them, we feel it’s important not to lose sight of this goal. The term is meant to describe a medical approach that </w:t>
      </w:r>
      <w:proofErr w:type="gramStart"/>
      <w:r w:rsidRPr="0027399F">
        <w:rPr>
          <w:rFonts w:eastAsia="Arial" w:cstheme="minorHAnsi"/>
          <w:color w:val="000000" w:themeColor="text1"/>
          <w:lang w:val="en-GB"/>
        </w:rPr>
        <w:t>tailors</w:t>
      </w:r>
      <w:proofErr w:type="gramEnd"/>
      <w:r w:rsidRPr="0027399F">
        <w:rPr>
          <w:rFonts w:eastAsia="Arial" w:cstheme="minorHAnsi"/>
          <w:color w:val="000000" w:themeColor="text1"/>
          <w:lang w:val="en-GB"/>
        </w:rPr>
        <w:t xml:space="preserve"> treatment and prevention strategies to individual patient characteristics, such as genetics, environment, and lifestyle, improving outcomes and minimizing unnecessary interventions.</w:t>
      </w:r>
    </w:p>
    <w:p w14:paraId="76DD5FB7" w14:textId="77777777" w:rsidR="0027399F" w:rsidRPr="0027399F" w:rsidRDefault="0027399F" w:rsidP="0027399F">
      <w:pPr>
        <w:pBdr>
          <w:top w:val="nil"/>
          <w:left w:val="nil"/>
          <w:bottom w:val="nil"/>
          <w:right w:val="nil"/>
          <w:between w:val="nil"/>
        </w:pBdr>
        <w:spacing w:before="20" w:line="240" w:lineRule="auto"/>
        <w:ind w:hanging="2"/>
        <w:jc w:val="both"/>
        <w:rPr>
          <w:rFonts w:eastAsia="Arial" w:cstheme="minorHAnsi"/>
          <w:color w:val="000000" w:themeColor="text1"/>
        </w:rPr>
      </w:pPr>
      <w:r w:rsidRPr="0027399F">
        <w:rPr>
          <w:rFonts w:eastAsia="Arial" w:cstheme="minorHAnsi"/>
          <w:b/>
          <w:bCs/>
          <w:color w:val="000000" w:themeColor="text1"/>
          <w:lang w:val="en-GB"/>
        </w:rPr>
        <w:t>Electronic Health Record Data</w:t>
      </w:r>
      <w:r w:rsidRPr="0027399F">
        <w:rPr>
          <w:rFonts w:eastAsia="Arial" w:cstheme="minorHAnsi"/>
          <w:color w:val="000000" w:themeColor="text1"/>
          <w:lang w:val="en-GB"/>
        </w:rPr>
        <w:t xml:space="preserve">: </w:t>
      </w:r>
    </w:p>
    <w:p w14:paraId="1BB44B0D" w14:textId="3E1390FA" w:rsidR="0027399F" w:rsidRPr="0027399F" w:rsidRDefault="0027399F" w:rsidP="0027399F">
      <w:pPr>
        <w:pBdr>
          <w:top w:val="nil"/>
          <w:left w:val="nil"/>
          <w:bottom w:val="nil"/>
          <w:right w:val="nil"/>
          <w:between w:val="nil"/>
        </w:pBdr>
        <w:spacing w:before="20" w:line="240" w:lineRule="auto"/>
        <w:ind w:hanging="2"/>
        <w:jc w:val="both"/>
        <w:rPr>
          <w:rFonts w:eastAsia="Arial" w:cstheme="minorHAnsi"/>
          <w:color w:val="000000" w:themeColor="text1"/>
        </w:rPr>
      </w:pPr>
      <w:r w:rsidRPr="0027399F">
        <w:rPr>
          <w:rFonts w:eastAsia="Arial" w:cstheme="minorHAnsi"/>
          <w:color w:val="000000" w:themeColor="text1"/>
          <w:lang w:val="en-GB"/>
        </w:rPr>
        <w:t xml:space="preserve">EHR data are digital records of a patient’s health information generated during clinical care. This includes demographics, medical history, diagnoses, medications, lab results, imaging, and clinical notes. Standards like </w:t>
      </w:r>
      <w:r w:rsidRPr="0027399F">
        <w:rPr>
          <w:rFonts w:eastAsia="Arial" w:cstheme="minorHAnsi"/>
          <w:b/>
          <w:bCs/>
          <w:color w:val="000000" w:themeColor="text1"/>
          <w:lang w:val="en-GB"/>
        </w:rPr>
        <w:t>HL7 FHIR</w:t>
      </w:r>
      <w:r w:rsidRPr="0027399F">
        <w:rPr>
          <w:rFonts w:eastAsia="Arial" w:cstheme="minorHAnsi"/>
          <w:color w:val="000000" w:themeColor="text1"/>
          <w:lang w:val="en-GB"/>
        </w:rPr>
        <w:t xml:space="preserve"> (Fast Healthcare Interoperability Resources) define how EHR data are structured and exchanged to support interoperability across healthcare systems.</w:t>
      </w:r>
    </w:p>
    <w:p w14:paraId="124129D0" w14:textId="73881009" w:rsidR="00DA5326" w:rsidRPr="0027399F" w:rsidRDefault="0027399F" w:rsidP="0027399F">
      <w:pPr>
        <w:pBdr>
          <w:top w:val="nil"/>
          <w:left w:val="nil"/>
          <w:bottom w:val="nil"/>
          <w:right w:val="nil"/>
          <w:between w:val="nil"/>
        </w:pBdr>
        <w:spacing w:before="20" w:line="240" w:lineRule="auto"/>
        <w:ind w:hanging="2"/>
        <w:jc w:val="both"/>
        <w:rPr>
          <w:rFonts w:eastAsia="Arial" w:cstheme="minorHAnsi"/>
          <w:color w:val="000000" w:themeColor="text1"/>
        </w:rPr>
      </w:pPr>
      <w:r w:rsidRPr="0027399F">
        <w:rPr>
          <w:rFonts w:eastAsia="Arial" w:cstheme="minorHAnsi"/>
          <w:b/>
          <w:bCs/>
          <w:color w:val="000000" w:themeColor="text1"/>
          <w:lang w:val="en-GB"/>
        </w:rPr>
        <w:t xml:space="preserve">Regulated Clinical Research Data: </w:t>
      </w:r>
      <w:r w:rsidRPr="0027399F">
        <w:rPr>
          <w:rFonts w:eastAsia="Arial" w:cstheme="minorHAnsi"/>
          <w:color w:val="000000" w:themeColor="text1"/>
          <w:lang w:val="en-GB"/>
        </w:rPr>
        <w:t xml:space="preserve">Datasets generated during clinical trials that are submitted to health authorities for regulatory review. The </w:t>
      </w:r>
      <w:proofErr w:type="spellStart"/>
      <w:r w:rsidRPr="0027399F">
        <w:rPr>
          <w:rFonts w:eastAsia="Arial" w:cstheme="minorHAnsi"/>
          <w:color w:val="000000" w:themeColor="text1"/>
          <w:lang w:val="en-GB"/>
        </w:rPr>
        <w:t>BioCompute</w:t>
      </w:r>
      <w:proofErr w:type="spellEnd"/>
      <w:r w:rsidRPr="0027399F">
        <w:rPr>
          <w:rFonts w:eastAsia="Arial" w:cstheme="minorHAnsi"/>
          <w:color w:val="000000" w:themeColor="text1"/>
          <w:lang w:val="en-GB"/>
        </w:rPr>
        <w:t xml:space="preserve"> Standard (IEEE 2791-2020) provides a structured framework for documenting bioinformatics workflows used in generating such data, ensuring transparency, reproducibility, and regulatory compliance—especially for high-throughput sequencing and omics analyses.</w:t>
      </w:r>
    </w:p>
    <w:p w14:paraId="68EDDC2A" w14:textId="32F9F3BA" w:rsidR="00DA5326" w:rsidRPr="0027399F" w:rsidRDefault="00303464" w:rsidP="00DA5326">
      <w:pPr>
        <w:pStyle w:val="Heading1"/>
        <w:rPr>
          <w:rFonts w:asciiTheme="minorHAnsi" w:hAnsiTheme="minorHAnsi" w:cstheme="minorHAnsi"/>
        </w:rPr>
      </w:pPr>
      <w:bookmarkStart w:id="3" w:name="_Toc93493876"/>
      <w:r w:rsidRPr="0027399F">
        <w:rPr>
          <w:rFonts w:asciiTheme="minorHAnsi" w:hAnsiTheme="minorHAnsi" w:cstheme="minorHAnsi"/>
        </w:rPr>
        <w:t xml:space="preserve">4: </w:t>
      </w:r>
      <w:r w:rsidR="00DA5326" w:rsidRPr="0027399F">
        <w:rPr>
          <w:rFonts w:asciiTheme="minorHAnsi" w:hAnsiTheme="minorHAnsi" w:cstheme="minorHAnsi"/>
        </w:rPr>
        <w:t>Problem Statement:</w:t>
      </w:r>
      <w:bookmarkEnd w:id="3"/>
    </w:p>
    <w:p w14:paraId="0D516530" w14:textId="2EA6CDD1" w:rsidR="0027399F" w:rsidRPr="0027399F" w:rsidRDefault="0027399F" w:rsidP="0027399F">
      <w:pPr>
        <w:pBdr>
          <w:top w:val="nil"/>
          <w:left w:val="nil"/>
          <w:bottom w:val="nil"/>
          <w:right w:val="nil"/>
          <w:between w:val="nil"/>
        </w:pBdr>
        <w:spacing w:before="20" w:line="240" w:lineRule="auto"/>
        <w:ind w:hanging="2"/>
        <w:jc w:val="both"/>
        <w:rPr>
          <w:rFonts w:eastAsia="Arial" w:cstheme="minorHAnsi"/>
          <w:color w:val="000000" w:themeColor="text1"/>
        </w:rPr>
      </w:pPr>
      <w:r w:rsidRPr="0027399F">
        <w:rPr>
          <w:rFonts w:eastAsia="Arial" w:cstheme="minorHAnsi"/>
          <w:color w:val="000000" w:themeColor="text1"/>
          <w:lang w:val="en-GB"/>
        </w:rPr>
        <w:t xml:space="preserve">Each of the Standard Development Organisations (SDOs) and standards mentioned above are understandably focused on their own stakeholders and funders. There are no “Data Bridges” to tie these critical areas of translational research together in order to achieve Personalized Medicine. There does not currently exist a project / program or funding mechanism for necessary cross-SDO coordination, alignment of standards, and ultimately interoperability between genomics, drug discovery, clinical research, and healthcare. During a GA4GH meeting, a keynote speaker referred to the gap between genomics information and other uses as the “valley of death”. Many in the audience were in clear agreement. The Food &amp; Drug Administration, the National Cancer Institute, and other NIH Institutes have definitively expressed interest in their area. </w:t>
      </w:r>
    </w:p>
    <w:p w14:paraId="08241BAA" w14:textId="50328B37" w:rsidR="00DA5326" w:rsidRPr="0027399F" w:rsidRDefault="0027399F" w:rsidP="0027399F">
      <w:pPr>
        <w:pBdr>
          <w:top w:val="nil"/>
          <w:left w:val="nil"/>
          <w:bottom w:val="nil"/>
          <w:right w:val="nil"/>
          <w:between w:val="nil"/>
        </w:pBdr>
        <w:spacing w:before="20" w:line="240" w:lineRule="auto"/>
        <w:ind w:hanging="2"/>
        <w:jc w:val="both"/>
        <w:rPr>
          <w:rFonts w:eastAsia="Arial" w:cstheme="minorHAnsi"/>
          <w:color w:val="000000" w:themeColor="text1"/>
        </w:rPr>
      </w:pPr>
      <w:r w:rsidRPr="0027399F">
        <w:rPr>
          <w:rFonts w:eastAsia="Arial" w:cstheme="minorHAnsi"/>
          <w:color w:val="000000" w:themeColor="text1"/>
          <w:lang w:val="en-GB"/>
        </w:rPr>
        <w:t>Furthermore, there exists no interoperability between clinical and research systems. EHR systems, genetic testing labs, clinical research file formats, public databases, and disease-based registries (e.g., cancer, rare diseases). All use different formats to represent genomics data. Each one is owned and governed independently. If this continues, the current interoperability breakdown will only get worse. In order to unlock the potential of these data for R&amp;D purposes, we need to develop new ways of integrating and analysing data sets more efficiently.</w:t>
      </w:r>
    </w:p>
    <w:p w14:paraId="6C460B84" w14:textId="19B2CB55" w:rsidR="00DA5326" w:rsidRPr="0027399F" w:rsidRDefault="00303464" w:rsidP="00DA5326">
      <w:pPr>
        <w:pStyle w:val="Heading1"/>
        <w:rPr>
          <w:rFonts w:asciiTheme="minorHAnsi" w:hAnsiTheme="minorHAnsi" w:cstheme="minorHAnsi"/>
        </w:rPr>
      </w:pPr>
      <w:bookmarkStart w:id="4" w:name="_Toc93493877"/>
      <w:r w:rsidRPr="0027399F">
        <w:rPr>
          <w:rFonts w:asciiTheme="minorHAnsi" w:hAnsiTheme="minorHAnsi" w:cstheme="minorHAnsi"/>
        </w:rPr>
        <w:lastRenderedPageBreak/>
        <w:t xml:space="preserve">5: </w:t>
      </w:r>
      <w:r w:rsidR="00DA5326" w:rsidRPr="0027399F">
        <w:rPr>
          <w:rFonts w:asciiTheme="minorHAnsi" w:hAnsiTheme="minorHAnsi" w:cstheme="minorHAnsi"/>
        </w:rPr>
        <w:t>Background:</w:t>
      </w:r>
      <w:bookmarkEnd w:id="4"/>
    </w:p>
    <w:p w14:paraId="6465B55B" w14:textId="1A52BF3B" w:rsidR="0027399F" w:rsidRPr="0027399F" w:rsidRDefault="0027399F" w:rsidP="0027399F">
      <w:pPr>
        <w:pBdr>
          <w:top w:val="nil"/>
          <w:left w:val="nil"/>
          <w:bottom w:val="nil"/>
          <w:right w:val="nil"/>
          <w:between w:val="nil"/>
        </w:pBdr>
        <w:spacing w:before="20" w:line="240" w:lineRule="auto"/>
        <w:ind w:hanging="2"/>
        <w:jc w:val="both"/>
        <w:rPr>
          <w:rFonts w:eastAsia="Arial" w:cstheme="minorHAnsi"/>
          <w:color w:val="000000" w:themeColor="text1"/>
        </w:rPr>
      </w:pPr>
      <w:r w:rsidRPr="0027399F">
        <w:rPr>
          <w:rFonts w:eastAsia="Arial" w:cstheme="minorHAnsi"/>
          <w:color w:val="000000" w:themeColor="text1"/>
        </w:rPr>
        <w:t xml:space="preserve">Omics data, such as genomics, transcriptomics, proteomics, and others, are widely collected in national biobanks around the world and used in basic research settings. Pharmaceutical companies can use this data as part of Regulated Clinical Trials to investigate efficacy of the drugs </w:t>
      </w:r>
      <w:hyperlink r:id="rId15" w:history="1">
        <w:r w:rsidRPr="0027399F">
          <w:rPr>
            <w:rStyle w:val="Hyperlink"/>
            <w:rFonts w:eastAsia="Arial" w:cstheme="minorHAnsi"/>
          </w:rPr>
          <w:t>[Ref 4]</w:t>
        </w:r>
      </w:hyperlink>
      <w:r w:rsidRPr="0027399F">
        <w:rPr>
          <w:rFonts w:eastAsia="Arial" w:cstheme="minorHAnsi"/>
          <w:color w:val="000000" w:themeColor="text1"/>
        </w:rPr>
        <w:t>. These data also have extraordinary potential for driving translational research, personalized medicine, and supporting clinical decision making, an application that is rapidly gaining. For example, the ARPA-H [</w:t>
      </w:r>
      <w:hyperlink r:id="rId16" w:history="1">
        <w:r w:rsidRPr="0027399F">
          <w:rPr>
            <w:rStyle w:val="Hyperlink"/>
            <w:rFonts w:eastAsia="Arial" w:cstheme="minorHAnsi"/>
          </w:rPr>
          <w:t>Ref 5</w:t>
        </w:r>
      </w:hyperlink>
      <w:r w:rsidRPr="0027399F">
        <w:rPr>
          <w:rFonts w:eastAsia="Arial" w:cstheme="minorHAnsi"/>
          <w:color w:val="000000" w:themeColor="text1"/>
        </w:rPr>
        <w:t>] funded project called FEAST (Federated Ecosystems for Analytics and Standardized Technologies) [</w:t>
      </w:r>
      <w:hyperlink r:id="rId17" w:history="1">
        <w:r w:rsidRPr="0027399F">
          <w:rPr>
            <w:rStyle w:val="Hyperlink"/>
            <w:rFonts w:eastAsia="Arial" w:cstheme="minorHAnsi"/>
          </w:rPr>
          <w:t>Ref 6</w:t>
        </w:r>
      </w:hyperlink>
      <w:r w:rsidRPr="0027399F">
        <w:rPr>
          <w:rFonts w:eastAsia="Arial" w:cstheme="minorHAnsi"/>
          <w:color w:val="000000" w:themeColor="text1"/>
        </w:rPr>
        <w:t>] is now in its second year and aims to integrate a broad variety of data types from several healthcare settings. This focus was cancer datasets and medical device data from participants including Cornell, Vanderbilt, Georgetown, The George Washington University, and Kaiser Permanente.</w:t>
      </w:r>
    </w:p>
    <w:p w14:paraId="5CBD1828" w14:textId="5F13D944" w:rsidR="0027399F" w:rsidRPr="0027399F" w:rsidRDefault="0027399F" w:rsidP="0027399F">
      <w:pPr>
        <w:pBdr>
          <w:top w:val="nil"/>
          <w:left w:val="nil"/>
          <w:bottom w:val="nil"/>
          <w:right w:val="nil"/>
          <w:between w:val="nil"/>
        </w:pBdr>
        <w:spacing w:before="20" w:line="240" w:lineRule="auto"/>
        <w:ind w:hanging="2"/>
        <w:jc w:val="both"/>
        <w:rPr>
          <w:rFonts w:eastAsia="Arial" w:cstheme="minorHAnsi"/>
          <w:color w:val="000000" w:themeColor="text1"/>
          <w:lang w:val="en-GB"/>
        </w:rPr>
      </w:pPr>
      <w:r w:rsidRPr="0027399F">
        <w:rPr>
          <w:rFonts w:eastAsia="Arial" w:cstheme="minorHAnsi"/>
          <w:color w:val="000000" w:themeColor="text1"/>
        </w:rPr>
        <w:t>The potential benefits of a multi-omics approach from a variety of data sources are quite large, and range from rare disease detection, diagnosis, and treatment, as well as stronger insights into cancer and neurological disorders</w:t>
      </w:r>
      <w:r w:rsidRPr="0027399F" w:rsidDel="00DA1F14">
        <w:rPr>
          <w:rFonts w:eastAsia="Arial" w:cstheme="minorHAnsi"/>
          <w:color w:val="000000" w:themeColor="text1"/>
        </w:rPr>
        <w:t xml:space="preserve"> </w:t>
      </w:r>
      <w:proofErr w:type="spellStart"/>
      <w:r w:rsidRPr="0027399F">
        <w:rPr>
          <w:rFonts w:eastAsia="Arial" w:cstheme="minorHAnsi"/>
          <w:color w:val="000000" w:themeColor="text1"/>
          <w:lang w:val="en-GB"/>
        </w:rPr>
        <w:t>avigating</w:t>
      </w:r>
      <w:proofErr w:type="spellEnd"/>
      <w:r w:rsidRPr="0027399F">
        <w:rPr>
          <w:rFonts w:eastAsia="Arial" w:cstheme="minorHAnsi"/>
          <w:color w:val="000000" w:themeColor="text1"/>
          <w:lang w:val="en-GB"/>
        </w:rPr>
        <w:t xml:space="preserve"> the logistical and legal frameworks for these data is a major milestone. However, technical challenges to integrating data from a variety of omics data sources remain and are a barrier to widespread usage. Specifically, we define five categories of challenges:</w:t>
      </w:r>
    </w:p>
    <w:p w14:paraId="5D54AD5E" w14:textId="77777777" w:rsidR="0027399F" w:rsidRPr="0027399F" w:rsidRDefault="0027399F" w:rsidP="0027399F">
      <w:pPr>
        <w:pStyle w:val="ListParagraph"/>
        <w:numPr>
          <w:ilvl w:val="0"/>
          <w:numId w:val="4"/>
        </w:numPr>
        <w:pBdr>
          <w:top w:val="nil"/>
          <w:left w:val="nil"/>
          <w:bottom w:val="nil"/>
          <w:right w:val="nil"/>
          <w:between w:val="nil"/>
        </w:pBdr>
        <w:suppressAutoHyphens/>
        <w:spacing w:before="20" w:after="0" w:line="240" w:lineRule="auto"/>
        <w:jc w:val="both"/>
        <w:textDirection w:val="btLr"/>
        <w:textAlignment w:val="top"/>
        <w:outlineLvl w:val="0"/>
        <w:rPr>
          <w:rFonts w:eastAsia="Arial" w:cstheme="minorHAnsi"/>
          <w:color w:val="000000" w:themeColor="text1"/>
        </w:rPr>
      </w:pPr>
      <w:r w:rsidRPr="0027399F">
        <w:rPr>
          <w:rFonts w:eastAsia="Arial" w:cstheme="minorHAnsi"/>
          <w:color w:val="000000" w:themeColor="text1"/>
          <w:lang w:val="en-GB"/>
        </w:rPr>
        <w:t>The heterogeneity of omics data formats</w:t>
      </w:r>
    </w:p>
    <w:p w14:paraId="148BCC23" w14:textId="77777777" w:rsidR="0027399F" w:rsidRPr="0027399F" w:rsidRDefault="0027399F" w:rsidP="0027399F">
      <w:pPr>
        <w:pStyle w:val="ListParagraph"/>
        <w:numPr>
          <w:ilvl w:val="0"/>
          <w:numId w:val="4"/>
        </w:numPr>
        <w:pBdr>
          <w:top w:val="nil"/>
          <w:left w:val="nil"/>
          <w:bottom w:val="nil"/>
          <w:right w:val="nil"/>
          <w:between w:val="nil"/>
        </w:pBdr>
        <w:suppressAutoHyphens/>
        <w:spacing w:before="20" w:after="0" w:line="240" w:lineRule="auto"/>
        <w:jc w:val="both"/>
        <w:textDirection w:val="btLr"/>
        <w:textAlignment w:val="top"/>
        <w:outlineLvl w:val="0"/>
        <w:rPr>
          <w:rFonts w:eastAsia="Arial" w:cstheme="minorHAnsi"/>
          <w:color w:val="000000" w:themeColor="text1"/>
        </w:rPr>
      </w:pPr>
      <w:r w:rsidRPr="0027399F">
        <w:rPr>
          <w:rFonts w:eastAsia="Arial" w:cstheme="minorHAnsi"/>
          <w:color w:val="000000" w:themeColor="text1"/>
          <w:lang w:val="en-GB"/>
        </w:rPr>
        <w:t>Ensuring data quality and reproducibility across platforms</w:t>
      </w:r>
    </w:p>
    <w:p w14:paraId="52231E26" w14:textId="77777777" w:rsidR="0027399F" w:rsidRPr="0027399F" w:rsidRDefault="0027399F" w:rsidP="0027399F">
      <w:pPr>
        <w:pStyle w:val="ListParagraph"/>
        <w:numPr>
          <w:ilvl w:val="0"/>
          <w:numId w:val="4"/>
        </w:numPr>
        <w:pBdr>
          <w:top w:val="nil"/>
          <w:left w:val="nil"/>
          <w:bottom w:val="nil"/>
          <w:right w:val="nil"/>
          <w:between w:val="nil"/>
        </w:pBdr>
        <w:suppressAutoHyphens/>
        <w:spacing w:before="20" w:after="0" w:line="240" w:lineRule="auto"/>
        <w:jc w:val="both"/>
        <w:textDirection w:val="btLr"/>
        <w:textAlignment w:val="top"/>
        <w:outlineLvl w:val="0"/>
        <w:rPr>
          <w:rFonts w:eastAsia="Arial" w:cstheme="minorHAnsi"/>
          <w:color w:val="000000" w:themeColor="text1"/>
        </w:rPr>
      </w:pPr>
      <w:r w:rsidRPr="0027399F">
        <w:rPr>
          <w:rFonts w:eastAsia="Arial" w:cstheme="minorHAnsi"/>
          <w:color w:val="000000" w:themeColor="text1"/>
          <w:lang w:val="en-GB"/>
        </w:rPr>
        <w:t>Collecting multi-omics information in clinical trials, managing large-scale data storage such as National Biobanks</w:t>
      </w:r>
    </w:p>
    <w:p w14:paraId="284883EE" w14:textId="77777777" w:rsidR="0027399F" w:rsidRPr="0027399F" w:rsidRDefault="0027399F" w:rsidP="0027399F">
      <w:pPr>
        <w:pStyle w:val="ListParagraph"/>
        <w:numPr>
          <w:ilvl w:val="0"/>
          <w:numId w:val="4"/>
        </w:numPr>
        <w:pBdr>
          <w:top w:val="nil"/>
          <w:left w:val="nil"/>
          <w:bottom w:val="nil"/>
          <w:right w:val="nil"/>
          <w:between w:val="nil"/>
        </w:pBdr>
        <w:suppressAutoHyphens/>
        <w:spacing w:before="20" w:after="0" w:line="240" w:lineRule="auto"/>
        <w:jc w:val="both"/>
        <w:textDirection w:val="btLr"/>
        <w:textAlignment w:val="top"/>
        <w:outlineLvl w:val="0"/>
        <w:rPr>
          <w:rFonts w:eastAsia="Arial" w:cstheme="minorHAnsi"/>
          <w:color w:val="000000" w:themeColor="text1"/>
        </w:rPr>
      </w:pPr>
      <w:r w:rsidRPr="0027399F">
        <w:rPr>
          <w:rFonts w:eastAsia="Arial" w:cstheme="minorHAnsi"/>
          <w:color w:val="000000" w:themeColor="text1"/>
        </w:rPr>
        <w:t xml:space="preserve">The complexity of downstream bioinformatics </w:t>
      </w:r>
      <w:r w:rsidRPr="0027399F">
        <w:rPr>
          <w:rFonts w:eastAsia="Arial" w:cstheme="minorHAnsi"/>
          <w:color w:val="000000" w:themeColor="text1"/>
          <w:lang w:val="en-GB"/>
        </w:rPr>
        <w:t>analysis connected with large scale upstream databases and national biobanks</w:t>
      </w:r>
    </w:p>
    <w:p w14:paraId="10D485C0" w14:textId="48ACF7AF" w:rsidR="0027399F" w:rsidRPr="0027399F" w:rsidRDefault="0027399F" w:rsidP="0027399F">
      <w:pPr>
        <w:pStyle w:val="ListParagraph"/>
        <w:numPr>
          <w:ilvl w:val="0"/>
          <w:numId w:val="4"/>
        </w:numPr>
        <w:pBdr>
          <w:top w:val="nil"/>
          <w:left w:val="nil"/>
          <w:bottom w:val="nil"/>
          <w:right w:val="nil"/>
          <w:between w:val="nil"/>
        </w:pBdr>
        <w:suppressAutoHyphens/>
        <w:spacing w:before="20" w:after="0" w:line="240" w:lineRule="auto"/>
        <w:jc w:val="both"/>
        <w:textDirection w:val="btLr"/>
        <w:textAlignment w:val="top"/>
        <w:outlineLvl w:val="0"/>
        <w:rPr>
          <w:rFonts w:eastAsia="Arial" w:cstheme="minorHAnsi"/>
          <w:color w:val="000000" w:themeColor="text1"/>
        </w:rPr>
      </w:pPr>
      <w:r w:rsidRPr="0027399F">
        <w:rPr>
          <w:rFonts w:eastAsia="Arial" w:cstheme="minorHAnsi"/>
          <w:color w:val="000000" w:themeColor="text1"/>
          <w:lang w:val="en-GB"/>
        </w:rPr>
        <w:t>And secondary use of genomics / omics information to improve drug discovery, clinical research and patient care</w:t>
      </w:r>
    </w:p>
    <w:p w14:paraId="799FCAF0" w14:textId="322F5234" w:rsidR="0027399F" w:rsidRPr="0027399F" w:rsidRDefault="0027399F" w:rsidP="0027399F">
      <w:pPr>
        <w:pBdr>
          <w:top w:val="nil"/>
          <w:left w:val="nil"/>
          <w:bottom w:val="nil"/>
          <w:right w:val="nil"/>
          <w:between w:val="nil"/>
        </w:pBdr>
        <w:spacing w:before="20" w:line="240" w:lineRule="auto"/>
        <w:ind w:hanging="2"/>
        <w:jc w:val="both"/>
        <w:rPr>
          <w:rFonts w:eastAsia="Arial" w:cstheme="minorHAnsi"/>
          <w:color w:val="000000" w:themeColor="text1"/>
        </w:rPr>
      </w:pPr>
      <w:r w:rsidRPr="0027399F">
        <w:rPr>
          <w:rFonts w:eastAsia="Arial" w:cstheme="minorHAnsi"/>
          <w:b/>
          <w:bCs/>
          <w:color w:val="000000" w:themeColor="text1"/>
          <w:lang w:val="en-GB"/>
        </w:rPr>
        <w:t>1. The heterogeneity of omics data formats</w:t>
      </w:r>
      <w:r w:rsidRPr="0027399F">
        <w:rPr>
          <w:rFonts w:eastAsia="Arial" w:cstheme="minorHAnsi"/>
          <w:color w:val="000000" w:themeColor="text1"/>
          <w:lang w:val="en-GB"/>
        </w:rPr>
        <w:t xml:space="preserve"> typically involves complicated, often bespoke data processing solutions, and can include correlation, covariance-based techniques, matrix decomposition, probabilistic, and/or Bayesian strategies [</w:t>
      </w:r>
      <w:hyperlink r:id="rId18" w:history="1">
        <w:r w:rsidRPr="0027399F">
          <w:rPr>
            <w:rStyle w:val="Hyperlink"/>
            <w:rFonts w:eastAsia="Arial" w:cstheme="minorHAnsi"/>
            <w:lang w:val="en-GB"/>
          </w:rPr>
          <w:t>Ref 7</w:t>
        </w:r>
      </w:hyperlink>
      <w:r w:rsidRPr="0027399F">
        <w:rPr>
          <w:rFonts w:eastAsia="Arial" w:cstheme="minorHAnsi"/>
          <w:color w:val="000000" w:themeColor="text1"/>
          <w:lang w:val="en-GB"/>
        </w:rPr>
        <w:t>] [</w:t>
      </w:r>
      <w:hyperlink r:id="rId19" w:history="1">
        <w:r w:rsidRPr="0027399F">
          <w:rPr>
            <w:rStyle w:val="Hyperlink"/>
            <w:rFonts w:eastAsia="Arial" w:cstheme="minorHAnsi"/>
            <w:lang w:val="en-GB"/>
          </w:rPr>
          <w:t>Ref 8</w:t>
        </w:r>
      </w:hyperlink>
      <w:r w:rsidRPr="0027399F">
        <w:rPr>
          <w:rFonts w:eastAsia="Arial" w:cstheme="minorHAnsi"/>
          <w:color w:val="000000" w:themeColor="text1"/>
          <w:lang w:val="en-GB"/>
        </w:rPr>
        <w:t xml:space="preserve">]. </w:t>
      </w:r>
      <w:r w:rsidRPr="0027399F">
        <w:rPr>
          <w:rFonts w:eastAsia="Arial" w:cstheme="minorHAnsi"/>
          <w:color w:val="000000" w:themeColor="text1"/>
        </w:rPr>
        <w:t>As many non-clinical resources work to unify and standardize their data to make them much more amenable to integration (for example, the “Workflow Playbook” [</w:t>
      </w:r>
      <w:hyperlink r:id="rId20" w:history="1">
        <w:r w:rsidRPr="0027399F">
          <w:rPr>
            <w:rStyle w:val="Hyperlink"/>
            <w:rFonts w:eastAsia="Arial" w:cstheme="minorHAnsi"/>
          </w:rPr>
          <w:t>Ref 9</w:t>
        </w:r>
      </w:hyperlink>
      <w:r w:rsidRPr="0027399F">
        <w:rPr>
          <w:rFonts w:eastAsia="Arial" w:cstheme="minorHAnsi"/>
          <w:color w:val="000000" w:themeColor="text1"/>
        </w:rPr>
        <w:t xml:space="preserve">] and </w:t>
      </w:r>
      <w:proofErr w:type="spellStart"/>
      <w:r w:rsidRPr="0027399F">
        <w:rPr>
          <w:rFonts w:eastAsia="Arial" w:cstheme="minorHAnsi"/>
          <w:color w:val="000000" w:themeColor="text1"/>
        </w:rPr>
        <w:t>UniProt</w:t>
      </w:r>
      <w:proofErr w:type="spellEnd"/>
      <w:r w:rsidRPr="0027399F">
        <w:rPr>
          <w:rFonts w:eastAsia="Arial" w:cstheme="minorHAnsi"/>
          <w:color w:val="000000" w:themeColor="text1"/>
        </w:rPr>
        <w:t xml:space="preserve"> API [</w:t>
      </w:r>
      <w:hyperlink r:id="rId21" w:history="1">
        <w:r w:rsidRPr="0027399F">
          <w:rPr>
            <w:rStyle w:val="Hyperlink"/>
            <w:rFonts w:eastAsia="Arial" w:cstheme="minorHAnsi"/>
          </w:rPr>
          <w:t>Ref 10</w:t>
        </w:r>
      </w:hyperlink>
      <w:r w:rsidRPr="0027399F">
        <w:rPr>
          <w:rFonts w:eastAsia="Arial" w:cstheme="minorHAnsi"/>
          <w:color w:val="000000" w:themeColor="text1"/>
        </w:rPr>
        <w:t>]), unifying datasets is becoming a more manageable task. However, regulatory data formats like CDISC SDTM are not well designed to capture complex, multi-omics analyses such as these, which can create burdensome challenges to moving data from the research space to the applied space.</w:t>
      </w:r>
    </w:p>
    <w:p w14:paraId="0239581F" w14:textId="77777777" w:rsidR="0027399F" w:rsidRPr="0027399F" w:rsidRDefault="0027399F" w:rsidP="0027399F">
      <w:pPr>
        <w:pBdr>
          <w:top w:val="nil"/>
          <w:left w:val="nil"/>
          <w:bottom w:val="nil"/>
          <w:right w:val="nil"/>
          <w:between w:val="nil"/>
        </w:pBdr>
        <w:spacing w:before="20" w:line="240" w:lineRule="auto"/>
        <w:ind w:hanging="2"/>
        <w:jc w:val="both"/>
        <w:rPr>
          <w:rFonts w:eastAsia="Arial" w:cstheme="minorHAnsi"/>
          <w:color w:val="000000" w:themeColor="text1"/>
        </w:rPr>
      </w:pPr>
      <w:r w:rsidRPr="0027399F">
        <w:rPr>
          <w:rFonts w:eastAsia="Arial" w:cstheme="minorHAnsi"/>
          <w:b/>
          <w:bCs/>
          <w:color w:val="000000" w:themeColor="text1"/>
        </w:rPr>
        <w:t>2. Data quality</w:t>
      </w:r>
      <w:r w:rsidRPr="0027399F">
        <w:rPr>
          <w:rFonts w:eastAsia="Arial" w:cstheme="minorHAnsi"/>
          <w:color w:val="000000" w:themeColor="text1"/>
        </w:rPr>
        <w:t xml:space="preserve"> is a reflection of one’s confidence that a particular piece of data represents reality. The way in which that confidence is represented can vary by data type. Further, data models for assessing quality are highly divergent by resource. There is no single, unifying confidence metric that can be applied across all data types.</w:t>
      </w:r>
    </w:p>
    <w:p w14:paraId="3EC98840" w14:textId="5C7169EF" w:rsidR="0027399F" w:rsidRPr="0027399F" w:rsidRDefault="0027399F" w:rsidP="0027399F">
      <w:pPr>
        <w:pBdr>
          <w:top w:val="nil"/>
          <w:left w:val="nil"/>
          <w:bottom w:val="nil"/>
          <w:right w:val="nil"/>
          <w:between w:val="nil"/>
        </w:pBdr>
        <w:spacing w:before="20" w:line="240" w:lineRule="auto"/>
        <w:ind w:hanging="2"/>
        <w:jc w:val="both"/>
        <w:rPr>
          <w:rFonts w:eastAsia="Arial" w:cstheme="minorHAnsi"/>
          <w:color w:val="000000" w:themeColor="text1"/>
        </w:rPr>
      </w:pPr>
      <w:r w:rsidRPr="0027399F">
        <w:rPr>
          <w:rFonts w:eastAsia="Arial" w:cstheme="minorHAnsi"/>
          <w:color w:val="000000" w:themeColor="text1"/>
        </w:rPr>
        <w:t>Further, reproducibility remains challenging. Although many workflow solutions have been developed to handle execution tasks reliably such as [</w:t>
      </w:r>
      <w:hyperlink r:id="rId22" w:history="1">
        <w:r w:rsidRPr="0027399F">
          <w:rPr>
            <w:rStyle w:val="Hyperlink"/>
            <w:rFonts w:eastAsia="Arial" w:cstheme="minorHAnsi"/>
          </w:rPr>
          <w:t>Ref 11</w:t>
        </w:r>
      </w:hyperlink>
      <w:r w:rsidRPr="0027399F">
        <w:rPr>
          <w:rFonts w:eastAsia="Arial" w:cstheme="minorHAnsi"/>
          <w:color w:val="000000" w:themeColor="text1"/>
        </w:rPr>
        <w:t>] [</w:t>
      </w:r>
      <w:hyperlink r:id="rId23" w:history="1">
        <w:r w:rsidRPr="0027399F">
          <w:rPr>
            <w:rStyle w:val="Hyperlink"/>
            <w:rFonts w:eastAsia="Arial" w:cstheme="minorHAnsi"/>
          </w:rPr>
          <w:t>Ref 12</w:t>
        </w:r>
      </w:hyperlink>
      <w:r w:rsidRPr="0027399F">
        <w:rPr>
          <w:rFonts w:eastAsia="Arial" w:cstheme="minorHAnsi"/>
          <w:color w:val="000000" w:themeColor="text1"/>
        </w:rPr>
        <w:t xml:space="preserve">], these do not communicate meaning, context, purpose, or other important information for decision making in the context of scientific review. The lack </w:t>
      </w:r>
      <w:r w:rsidRPr="0027399F">
        <w:rPr>
          <w:rFonts w:eastAsia="Arial" w:cstheme="minorHAnsi"/>
          <w:color w:val="000000" w:themeColor="text1"/>
        </w:rPr>
        <w:lastRenderedPageBreak/>
        <w:t>of supporting information has resulted in formal regulatory submission being rejected for lack of context, despite being reproducible. Further, none of the workflow engines are officially supported by the US FDA. Because of this, most reviewers do not invest the time in learning them.</w:t>
      </w:r>
    </w:p>
    <w:p w14:paraId="555ED07E" w14:textId="6DAD6BE0" w:rsidR="0027399F" w:rsidRPr="0027399F" w:rsidRDefault="0027399F" w:rsidP="0027399F">
      <w:pPr>
        <w:pBdr>
          <w:top w:val="nil"/>
          <w:left w:val="nil"/>
          <w:bottom w:val="nil"/>
          <w:right w:val="nil"/>
          <w:between w:val="nil"/>
        </w:pBdr>
        <w:spacing w:before="20" w:line="240" w:lineRule="auto"/>
        <w:ind w:hanging="2"/>
        <w:jc w:val="both"/>
        <w:rPr>
          <w:rFonts w:eastAsia="Arial" w:cstheme="minorHAnsi"/>
          <w:color w:val="000000" w:themeColor="text1"/>
          <w:lang w:val="en-GB"/>
        </w:rPr>
      </w:pPr>
      <w:r w:rsidRPr="0027399F">
        <w:rPr>
          <w:rFonts w:eastAsia="Arial" w:cstheme="minorHAnsi"/>
          <w:b/>
          <w:bCs/>
          <w:color w:val="000000" w:themeColor="text1"/>
        </w:rPr>
        <w:t>3.</w:t>
      </w:r>
      <w:r w:rsidRPr="0027399F">
        <w:rPr>
          <w:rFonts w:eastAsia="Arial" w:cstheme="minorHAnsi"/>
          <w:color w:val="000000" w:themeColor="text1"/>
        </w:rPr>
        <w:t xml:space="preserve"> Within Clinical Development, the datasets used are typically of limited size. This is obvious when we look at the FDA submission requirements. The Technical Conformance Guide [</w:t>
      </w:r>
      <w:hyperlink r:id="rId24">
        <w:r w:rsidRPr="0027399F">
          <w:rPr>
            <w:rStyle w:val="Hyperlink"/>
            <w:rFonts w:eastAsia="Arial" w:cstheme="minorHAnsi"/>
          </w:rPr>
          <w:t>Ref 13</w:t>
        </w:r>
      </w:hyperlink>
      <w:r w:rsidRPr="0027399F">
        <w:rPr>
          <w:rFonts w:eastAsia="Arial" w:cstheme="minorHAnsi"/>
          <w:color w:val="000000" w:themeColor="text1"/>
        </w:rPr>
        <w:t xml:space="preserve">] specifies that </w:t>
      </w:r>
      <w:r w:rsidRPr="0027399F">
        <w:rPr>
          <w:rFonts w:eastAsia="Arial" w:cstheme="minorHAnsi"/>
          <w:color w:val="000000" w:themeColor="text1"/>
          <w:lang w:val="en-GB"/>
        </w:rPr>
        <w:t>datasets greater than 5 gigabytes (GB) in size should be split into smaller datasets no larger than 5 GB. Additionally, the maximum file size that can be sent through the Electronic</w:t>
      </w:r>
      <w:r w:rsidRPr="0027399F">
        <w:rPr>
          <w:rFonts w:eastAsia="Arial" w:cstheme="minorHAnsi"/>
          <w:color w:val="000000" w:themeColor="text1"/>
          <w:sz w:val="18"/>
          <w:szCs w:val="18"/>
          <w:lang w:val="en-GB"/>
        </w:rPr>
        <w:t xml:space="preserve"> </w:t>
      </w:r>
      <w:r w:rsidRPr="0027399F">
        <w:rPr>
          <w:rFonts w:eastAsia="Arial" w:cstheme="minorHAnsi"/>
          <w:color w:val="000000" w:themeColor="text1"/>
          <w:lang w:val="en-GB"/>
        </w:rPr>
        <w:t xml:space="preserve">Submission Gateway is 100 GB uncompressed </w:t>
      </w:r>
      <w:r w:rsidRPr="0027399F">
        <w:rPr>
          <w:rFonts w:eastAsia="Arial" w:cstheme="minorHAnsi"/>
          <w:color w:val="000000" w:themeColor="text1"/>
        </w:rPr>
        <w:t>[</w:t>
      </w:r>
      <w:hyperlink r:id="rId25" w:anchor=":~:text=the%20WebTrader%20Client.-,What%20is%20the%20maximum%20file%20size%20that%20can%20be%20sent,10%20GB%20of%20uncompressed%20data">
        <w:r w:rsidRPr="0027399F">
          <w:rPr>
            <w:rStyle w:val="Hyperlink"/>
            <w:rFonts w:eastAsia="Arial" w:cstheme="minorHAnsi"/>
            <w:lang w:val="en-GB"/>
          </w:rPr>
          <w:t>Ref 14</w:t>
        </w:r>
      </w:hyperlink>
      <w:r w:rsidRPr="0027399F">
        <w:rPr>
          <w:rFonts w:eastAsia="Arial" w:cstheme="minorHAnsi"/>
          <w:color w:val="000000" w:themeColor="text1"/>
        </w:rPr>
        <w:t>]</w:t>
      </w:r>
      <w:r w:rsidRPr="0027399F">
        <w:rPr>
          <w:rFonts w:eastAsia="Arial" w:cstheme="minorHAnsi"/>
          <w:color w:val="000000" w:themeColor="text1"/>
          <w:lang w:val="en-GB"/>
        </w:rPr>
        <w:t xml:space="preserve">. In contrast, modern Next Generation Sequencing techniques easily generate raw data in the size of tens of terabytes. Even if the traditional systems used by Pharma companies or CROs can store those amounts of data, they cannot process it in a reasonable way. This creates the necessity of modernizing existing IT infrastructure or introducing new solutions. These new solutions then need to be </w:t>
      </w:r>
      <w:proofErr w:type="spellStart"/>
      <w:r w:rsidRPr="0027399F">
        <w:rPr>
          <w:rFonts w:eastAsia="Arial" w:cstheme="minorHAnsi"/>
          <w:color w:val="000000" w:themeColor="text1"/>
          <w:lang w:val="en-GB"/>
        </w:rPr>
        <w:t>GxP</w:t>
      </w:r>
      <w:proofErr w:type="spellEnd"/>
      <w:r w:rsidRPr="0027399F">
        <w:rPr>
          <w:rFonts w:eastAsia="Arial" w:cstheme="minorHAnsi"/>
          <w:color w:val="000000" w:themeColor="text1"/>
          <w:lang w:val="en-GB"/>
        </w:rPr>
        <w:t xml:space="preserve"> validated and integrated into the clinical study workflow, which is a huge exercise both on the IT as well as the validated process side. </w:t>
      </w:r>
    </w:p>
    <w:p w14:paraId="61D91E6E" w14:textId="31106291" w:rsidR="0027399F" w:rsidRPr="0027399F" w:rsidRDefault="0027399F" w:rsidP="0027399F">
      <w:pPr>
        <w:pBdr>
          <w:top w:val="nil"/>
          <w:left w:val="nil"/>
          <w:bottom w:val="nil"/>
          <w:right w:val="nil"/>
          <w:between w:val="nil"/>
        </w:pBdr>
        <w:spacing w:before="20" w:line="240" w:lineRule="auto"/>
        <w:ind w:hanging="2"/>
        <w:jc w:val="both"/>
        <w:rPr>
          <w:rFonts w:eastAsia="Arial" w:cstheme="minorHAnsi"/>
          <w:color w:val="000000" w:themeColor="text1"/>
        </w:rPr>
      </w:pPr>
      <w:r w:rsidRPr="0027399F">
        <w:rPr>
          <w:rFonts w:eastAsia="Arial" w:cstheme="minorHAnsi"/>
          <w:b/>
          <w:bCs/>
          <w:color w:val="000000" w:themeColor="text1"/>
        </w:rPr>
        <w:t xml:space="preserve">4. </w:t>
      </w:r>
      <w:r w:rsidRPr="0027399F">
        <w:rPr>
          <w:rFonts w:eastAsia="Arial" w:cstheme="minorHAnsi"/>
          <w:color w:val="000000" w:themeColor="text1"/>
        </w:rPr>
        <w:t xml:space="preserve">More kinds of data can often mean more insights into human health. However, it also requires far more complicated data processing. For example, the </w:t>
      </w:r>
      <w:proofErr w:type="spellStart"/>
      <w:r w:rsidRPr="0027399F">
        <w:rPr>
          <w:rFonts w:eastAsia="Arial" w:cstheme="minorHAnsi"/>
          <w:color w:val="000000" w:themeColor="text1"/>
        </w:rPr>
        <w:t>Velsera</w:t>
      </w:r>
      <w:proofErr w:type="spellEnd"/>
      <w:r w:rsidRPr="0027399F">
        <w:rPr>
          <w:rFonts w:eastAsia="Arial" w:cstheme="minorHAnsi"/>
          <w:color w:val="000000" w:themeColor="text1"/>
        </w:rPr>
        <w:t xml:space="preserve"> “Neoantigen workflow” has over 100 steps in the data processing pipeline, drawing from [x] data types. Although incredibly powerful and capable of finding novel insights, pipelines this complex can be challenging to reproduce, and especially difficult for scientific and regulatory reviewers to navigate.</w:t>
      </w:r>
    </w:p>
    <w:p w14:paraId="535D131F" w14:textId="5CA2279F" w:rsidR="0027399F" w:rsidRPr="0027399F" w:rsidRDefault="0027399F" w:rsidP="0027399F">
      <w:pPr>
        <w:pBdr>
          <w:top w:val="nil"/>
          <w:left w:val="nil"/>
          <w:bottom w:val="nil"/>
          <w:right w:val="nil"/>
          <w:between w:val="nil"/>
        </w:pBdr>
        <w:spacing w:before="20" w:line="240" w:lineRule="auto"/>
        <w:ind w:hanging="2"/>
        <w:jc w:val="both"/>
        <w:rPr>
          <w:rFonts w:eastAsia="Arial" w:cstheme="minorHAnsi"/>
          <w:color w:val="000000" w:themeColor="text1"/>
        </w:rPr>
      </w:pPr>
      <w:r w:rsidRPr="0027399F">
        <w:rPr>
          <w:rFonts w:eastAsia="Arial" w:cstheme="minorHAnsi"/>
          <w:b/>
          <w:bCs/>
          <w:color w:val="000000" w:themeColor="text1"/>
          <w:lang w:val="en-GB"/>
        </w:rPr>
        <w:t xml:space="preserve">5. Secondary Use of Genomics Data </w:t>
      </w:r>
      <w:r w:rsidRPr="0027399F">
        <w:rPr>
          <w:rFonts w:eastAsia="Arial" w:cstheme="minorHAnsi"/>
          <w:color w:val="000000" w:themeColor="text1"/>
          <w:lang w:val="en-GB"/>
        </w:rPr>
        <w:t xml:space="preserve">has been identified as a priority by many countries and government organizations through the International Standards Organization (ISO) Genomics Informatics Sub-Committee (SC1) which is formally comprised of 24 countries. </w:t>
      </w:r>
      <w:r w:rsidRPr="0027399F">
        <w:rPr>
          <w:rFonts w:eastAsia="Arial" w:cstheme="minorHAnsi"/>
          <w:color w:val="000000" w:themeColor="text1"/>
        </w:rPr>
        <w:t xml:space="preserve">Secondary use of genomics data refers to the use of genomics data generated for a single purpose, which is also needed for other purposes e.g., research, clinical decision making, population health management. This approach can lead to more efficient and effective use of data, which can ultimately improve patient outcomes. SC1 conducted a detailed survey across member countries with the results having been published in a technical report: ISO/TR 25313:2025 </w:t>
      </w:r>
      <w:r w:rsidRPr="0027399F">
        <w:rPr>
          <w:rFonts w:eastAsia="Arial" w:cstheme="minorHAnsi"/>
          <w:color w:val="000000" w:themeColor="text1"/>
          <w:u w:val="single"/>
        </w:rPr>
        <w:t>Current status and standardization need for secondary use of clinical genomics data</w:t>
      </w:r>
      <w:r w:rsidRPr="0027399F">
        <w:rPr>
          <w:rFonts w:eastAsia="Arial" w:cstheme="minorHAnsi"/>
          <w:color w:val="000000" w:themeColor="text1"/>
        </w:rPr>
        <w:t>. This work has led to the review and formal acceptance of new standards proposals, covering this topic in SC1.</w:t>
      </w:r>
    </w:p>
    <w:p w14:paraId="63B6AA37" w14:textId="53D6DB86" w:rsidR="0027399F" w:rsidRPr="0027399F" w:rsidRDefault="0027399F" w:rsidP="0027399F">
      <w:pPr>
        <w:widowControl/>
        <w:pBdr>
          <w:top w:val="nil"/>
          <w:left w:val="nil"/>
          <w:bottom w:val="nil"/>
          <w:right w:val="nil"/>
          <w:between w:val="nil"/>
        </w:pBdr>
        <w:spacing w:before="120" w:line="240" w:lineRule="auto"/>
        <w:ind w:hanging="2"/>
        <w:rPr>
          <w:rFonts w:eastAsia="Arial" w:cstheme="minorHAnsi"/>
          <w:b/>
          <w:bCs/>
          <w:smallCaps/>
          <w:color w:val="000000" w:themeColor="text1"/>
        </w:rPr>
      </w:pPr>
      <w:r w:rsidRPr="0027399F">
        <w:rPr>
          <w:rFonts w:eastAsia="Arial" w:cstheme="minorHAnsi"/>
          <w:b/>
          <w:bCs/>
          <w:smallCaps/>
          <w:color w:val="000000" w:themeColor="text1"/>
        </w:rPr>
        <w:t>EVOLVING DATA STANDARD LANDSCAPE</w:t>
      </w:r>
    </w:p>
    <w:p w14:paraId="12E1B449" w14:textId="74B07892" w:rsidR="0027399F" w:rsidRPr="0027399F" w:rsidRDefault="0027399F" w:rsidP="0027399F">
      <w:pPr>
        <w:pBdr>
          <w:top w:val="nil"/>
          <w:left w:val="nil"/>
          <w:bottom w:val="nil"/>
          <w:right w:val="nil"/>
          <w:between w:val="nil"/>
        </w:pBdr>
        <w:spacing w:before="20" w:line="240" w:lineRule="auto"/>
        <w:ind w:hanging="2"/>
        <w:jc w:val="both"/>
        <w:rPr>
          <w:rFonts w:eastAsia="Arial" w:cstheme="minorHAnsi"/>
          <w:color w:val="000000" w:themeColor="text1"/>
          <w:lang w:val="en-GB"/>
        </w:rPr>
      </w:pPr>
      <w:r w:rsidRPr="0027399F">
        <w:rPr>
          <w:rFonts w:eastAsia="Arial" w:cstheme="minorHAnsi"/>
          <w:color w:val="000000" w:themeColor="text1"/>
          <w:lang w:val="en-GB"/>
        </w:rPr>
        <w:t xml:space="preserve">Within SC1 a landscape analysis and survey were conducted, which has led to the recent publication of a Technical Report on the findings – ISO/TR 25313:2025 </w:t>
      </w:r>
      <w:r w:rsidRPr="0027399F">
        <w:rPr>
          <w:rFonts w:eastAsia="Arial" w:cstheme="minorHAnsi"/>
          <w:color w:val="000000" w:themeColor="text1"/>
          <w:u w:val="single"/>
          <w:lang w:val="en-GB"/>
        </w:rPr>
        <w:t>Challenges and standardization needs for secondary use of clinical genomics data</w:t>
      </w:r>
      <w:r w:rsidRPr="0027399F">
        <w:rPr>
          <w:rFonts w:eastAsia="Arial" w:cstheme="minorHAnsi"/>
          <w:color w:val="000000" w:themeColor="text1"/>
          <w:lang w:val="en-GB"/>
        </w:rPr>
        <w:t xml:space="preserve">. This Technical Report is leading to new ISO standards projects being proposed from across Asia. </w:t>
      </w:r>
    </w:p>
    <w:p w14:paraId="392EEF9E" w14:textId="75F3856E" w:rsidR="0027399F" w:rsidRPr="0027399F" w:rsidRDefault="0027399F" w:rsidP="0027399F">
      <w:pPr>
        <w:pBdr>
          <w:top w:val="nil"/>
          <w:left w:val="nil"/>
          <w:bottom w:val="nil"/>
          <w:right w:val="nil"/>
          <w:between w:val="nil"/>
        </w:pBdr>
        <w:spacing w:before="20" w:line="240" w:lineRule="auto"/>
        <w:ind w:hanging="2"/>
        <w:jc w:val="both"/>
        <w:rPr>
          <w:rFonts w:eastAsia="Arial" w:cstheme="minorHAnsi"/>
          <w:color w:val="000000" w:themeColor="text1"/>
        </w:rPr>
      </w:pPr>
      <w:r w:rsidRPr="0027399F">
        <w:rPr>
          <w:rFonts w:eastAsia="Arial" w:cstheme="minorHAnsi"/>
          <w:color w:val="000000" w:themeColor="text1"/>
          <w:lang w:val="en-GB"/>
        </w:rPr>
        <w:t>National Genomics Programs exist all over the world, and now significant investments are being made in National Precision Medicine Programs, particularly prevalent across Asia. For instance, Singapore has made major investments and are moving into the third phase of collecting DNA sequencing from Singaporeans and aligning with the National Health Record System [</w:t>
      </w:r>
      <w:hyperlink r:id="rId26">
        <w:r w:rsidRPr="0027399F">
          <w:rPr>
            <w:rStyle w:val="Hyperlink"/>
            <w:rFonts w:eastAsia="Arial" w:cstheme="minorHAnsi"/>
            <w:lang w:val="en-GB"/>
          </w:rPr>
          <w:t>Ref 15</w:t>
        </w:r>
      </w:hyperlink>
      <w:r w:rsidRPr="0027399F">
        <w:rPr>
          <w:rFonts w:eastAsia="Arial" w:cstheme="minorHAnsi"/>
          <w:color w:val="000000" w:themeColor="text1"/>
          <w:lang w:val="en-GB"/>
        </w:rPr>
        <w:t xml:space="preserve">]. Although the investments are </w:t>
      </w:r>
      <w:r w:rsidRPr="0027399F">
        <w:rPr>
          <w:rFonts w:eastAsia="Arial" w:cstheme="minorHAnsi"/>
          <w:color w:val="000000" w:themeColor="text1"/>
          <w:lang w:val="en-GB"/>
        </w:rPr>
        <w:lastRenderedPageBreak/>
        <w:t>smaller in North America, Genome Canada has established a Precision Medicine Program [</w:t>
      </w:r>
      <w:hyperlink r:id="rId27">
        <w:r w:rsidRPr="0027399F">
          <w:rPr>
            <w:rStyle w:val="Hyperlink"/>
            <w:rFonts w:eastAsia="Arial" w:cstheme="minorHAnsi"/>
            <w:lang w:val="en-GB"/>
          </w:rPr>
          <w:t>Ref 16</w:t>
        </w:r>
      </w:hyperlink>
      <w:r w:rsidRPr="0027399F">
        <w:rPr>
          <w:rFonts w:eastAsia="Arial" w:cstheme="minorHAnsi"/>
          <w:color w:val="000000" w:themeColor="text1"/>
          <w:lang w:val="en-GB"/>
        </w:rPr>
        <w:t>]. Even greater investments are being made across other areas of Asia (e.g., China, Japan, Korea) as well Middle Eastern countries [</w:t>
      </w:r>
      <w:hyperlink r:id="rId28" w:history="1">
        <w:r w:rsidRPr="0027399F">
          <w:rPr>
            <w:rStyle w:val="Hyperlink"/>
            <w:rFonts w:eastAsia="Arial" w:cstheme="minorHAnsi"/>
            <w:lang w:val="en-GB"/>
          </w:rPr>
          <w:t>Ref 17</w:t>
        </w:r>
      </w:hyperlink>
      <w:r w:rsidRPr="0027399F">
        <w:rPr>
          <w:rFonts w:eastAsia="Arial" w:cstheme="minorHAnsi"/>
          <w:color w:val="000000" w:themeColor="text1"/>
          <w:lang w:val="en-GB"/>
        </w:rPr>
        <w:t xml:space="preserve">]. </w:t>
      </w:r>
    </w:p>
    <w:p w14:paraId="58AB40E9" w14:textId="77777777" w:rsidR="0027399F" w:rsidRPr="0027399F" w:rsidRDefault="0027399F" w:rsidP="0027399F">
      <w:pPr>
        <w:pBdr>
          <w:top w:val="nil"/>
          <w:left w:val="nil"/>
          <w:bottom w:val="nil"/>
          <w:right w:val="nil"/>
          <w:between w:val="nil"/>
        </w:pBdr>
        <w:spacing w:before="20" w:line="240" w:lineRule="auto"/>
        <w:ind w:hanging="2"/>
        <w:jc w:val="both"/>
        <w:rPr>
          <w:rFonts w:eastAsia="Arial" w:cstheme="minorHAnsi"/>
          <w:color w:val="000000" w:themeColor="text1"/>
          <w:sz w:val="18"/>
          <w:szCs w:val="18"/>
          <w:lang w:val="en-GB"/>
        </w:rPr>
      </w:pPr>
      <w:r w:rsidRPr="0027399F">
        <w:rPr>
          <w:rFonts w:eastAsia="Arial" w:cstheme="minorHAnsi"/>
          <w:color w:val="000000" w:themeColor="text1"/>
          <w:lang w:val="en-GB"/>
        </w:rPr>
        <w:t>Even with these advancements there exist data silos between genomics databases / biobanks, clinical research data, clinical trials data, and healthcare data. Multiple SDOs are addressing different critical areas to truly achieve personalized medicine; Genomics Standards à Clinical Research / Clinical Trials Standards à Healthcare Standards as well as various terminology standards and data models. This landscape continues to evolve. Several SDOs have been actively coordinating for a number of years, particularly ISO/TC 215 SC1, GA4GH and HL7. Coordination with IEEE 2791-2020 (</w:t>
      </w:r>
      <w:proofErr w:type="spellStart"/>
      <w:r w:rsidRPr="0027399F">
        <w:rPr>
          <w:rFonts w:eastAsia="Arial" w:cstheme="minorHAnsi"/>
          <w:color w:val="000000" w:themeColor="text1"/>
          <w:lang w:val="en-GB"/>
        </w:rPr>
        <w:t>BioCompute</w:t>
      </w:r>
      <w:proofErr w:type="spellEnd"/>
      <w:r w:rsidRPr="0027399F">
        <w:rPr>
          <w:rFonts w:eastAsia="Arial" w:cstheme="minorHAnsi"/>
          <w:color w:val="000000" w:themeColor="text1"/>
          <w:lang w:val="en-GB"/>
        </w:rPr>
        <w:t>) is now underway. But this will take more work and focused collaboration to establish the necessary “data bridges” to achieve interoperability across the life sciences and translational research landscape.</w:t>
      </w:r>
      <w:r w:rsidRPr="0027399F">
        <w:rPr>
          <w:rFonts w:eastAsia="Arial" w:cstheme="minorHAnsi"/>
          <w:color w:val="000000" w:themeColor="text1"/>
          <w:sz w:val="18"/>
          <w:szCs w:val="18"/>
          <w:lang w:val="en-GB"/>
        </w:rPr>
        <w:t xml:space="preserve">  </w:t>
      </w:r>
    </w:p>
    <w:p w14:paraId="3CE6138B" w14:textId="77777777" w:rsidR="0027399F" w:rsidRPr="0027399F" w:rsidRDefault="0027399F" w:rsidP="0027399F">
      <w:pPr>
        <w:pBdr>
          <w:top w:val="nil"/>
          <w:left w:val="nil"/>
          <w:bottom w:val="nil"/>
          <w:right w:val="nil"/>
          <w:between w:val="nil"/>
        </w:pBdr>
        <w:spacing w:before="20" w:line="240" w:lineRule="auto"/>
        <w:ind w:hanging="2"/>
        <w:jc w:val="both"/>
        <w:rPr>
          <w:rFonts w:eastAsia="Arial" w:cstheme="minorHAnsi"/>
          <w:color w:val="000000" w:themeColor="text1"/>
          <w:sz w:val="18"/>
          <w:szCs w:val="18"/>
          <w:lang w:val="en-GB"/>
        </w:rPr>
      </w:pPr>
    </w:p>
    <w:p w14:paraId="6188A0B9" w14:textId="77777777" w:rsidR="0027399F" w:rsidRPr="0027399F" w:rsidRDefault="0027399F" w:rsidP="0027399F">
      <w:pPr>
        <w:keepNext/>
        <w:pBdr>
          <w:top w:val="nil"/>
          <w:left w:val="nil"/>
          <w:bottom w:val="nil"/>
          <w:right w:val="nil"/>
          <w:between w:val="nil"/>
        </w:pBdr>
        <w:spacing w:before="20" w:line="240" w:lineRule="auto"/>
        <w:jc w:val="center"/>
        <w:rPr>
          <w:rFonts w:cstheme="minorHAnsi"/>
        </w:rPr>
      </w:pPr>
      <w:r w:rsidRPr="0027399F">
        <w:rPr>
          <w:rFonts w:eastAsia="Arial" w:cstheme="minorHAnsi"/>
          <w:noProof/>
          <w:color w:val="000000" w:themeColor="text1"/>
          <w:sz w:val="18"/>
          <w:szCs w:val="18"/>
          <w:lang w:val="en-GB"/>
        </w:rPr>
        <w:drawing>
          <wp:inline distT="0" distB="0" distL="0" distR="0" wp14:anchorId="2EB8FED1" wp14:editId="7560154C">
            <wp:extent cx="5048077" cy="3154100"/>
            <wp:effectExtent l="0" t="0" r="635" b="8255"/>
            <wp:docPr id="1608372241" name="Picture 1" descr="A diagram of a company's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372241" name="Picture 1" descr="A diagram of a company's data&#10;&#10;AI-generated content may be incorrect."/>
                    <pic:cNvPicPr/>
                  </pic:nvPicPr>
                  <pic:blipFill rotWithShape="1">
                    <a:blip r:embed="rId29"/>
                    <a:srcRect l="5018" t="4571" r="10033"/>
                    <a:stretch>
                      <a:fillRect/>
                    </a:stretch>
                  </pic:blipFill>
                  <pic:spPr bwMode="auto">
                    <a:xfrm>
                      <a:off x="0" y="0"/>
                      <a:ext cx="5049047" cy="3154706"/>
                    </a:xfrm>
                    <a:prstGeom prst="rect">
                      <a:avLst/>
                    </a:prstGeom>
                    <a:ln>
                      <a:noFill/>
                    </a:ln>
                    <a:extLst>
                      <a:ext uri="{53640926-AAD7-44D8-BBD7-CCE9431645EC}">
                        <a14:shadowObscured xmlns:a14="http://schemas.microsoft.com/office/drawing/2010/main"/>
                      </a:ext>
                    </a:extLst>
                  </pic:spPr>
                </pic:pic>
              </a:graphicData>
            </a:graphic>
          </wp:inline>
        </w:drawing>
      </w:r>
    </w:p>
    <w:p w14:paraId="518AC241" w14:textId="77777777" w:rsidR="0027399F" w:rsidRPr="0027399F" w:rsidRDefault="0027399F" w:rsidP="0027399F">
      <w:pPr>
        <w:pStyle w:val="Caption"/>
        <w:ind w:left="0" w:hanging="2"/>
        <w:jc w:val="center"/>
        <w:rPr>
          <w:rFonts w:asciiTheme="minorHAnsi" w:eastAsia="Arial" w:hAnsiTheme="minorHAnsi" w:cstheme="minorHAnsi"/>
          <w:color w:val="000000" w:themeColor="text1"/>
          <w:sz w:val="22"/>
          <w:szCs w:val="22"/>
          <w:lang w:val="en-GB"/>
        </w:rPr>
      </w:pPr>
      <w:r w:rsidRPr="0027399F">
        <w:rPr>
          <w:rFonts w:asciiTheme="minorHAnsi" w:hAnsiTheme="minorHAnsi" w:cstheme="minorHAnsi"/>
          <w:sz w:val="22"/>
          <w:szCs w:val="22"/>
        </w:rPr>
        <w:t xml:space="preserve">Figure </w:t>
      </w:r>
      <w:r w:rsidRPr="0027399F">
        <w:rPr>
          <w:rFonts w:asciiTheme="minorHAnsi" w:hAnsiTheme="minorHAnsi" w:cstheme="minorHAnsi"/>
          <w:sz w:val="22"/>
          <w:szCs w:val="22"/>
        </w:rPr>
        <w:fldChar w:fldCharType="begin"/>
      </w:r>
      <w:r w:rsidRPr="0027399F">
        <w:rPr>
          <w:rFonts w:asciiTheme="minorHAnsi" w:hAnsiTheme="minorHAnsi" w:cstheme="minorHAnsi"/>
          <w:sz w:val="22"/>
          <w:szCs w:val="22"/>
        </w:rPr>
        <w:instrText xml:space="preserve"> SEQ Figure \* ARABIC </w:instrText>
      </w:r>
      <w:r w:rsidRPr="0027399F">
        <w:rPr>
          <w:rFonts w:asciiTheme="minorHAnsi" w:hAnsiTheme="minorHAnsi" w:cstheme="minorHAnsi"/>
          <w:sz w:val="22"/>
          <w:szCs w:val="22"/>
        </w:rPr>
        <w:fldChar w:fldCharType="separate"/>
      </w:r>
      <w:r w:rsidRPr="0027399F">
        <w:rPr>
          <w:rFonts w:asciiTheme="minorHAnsi" w:hAnsiTheme="minorHAnsi" w:cstheme="minorHAnsi"/>
          <w:noProof/>
          <w:sz w:val="22"/>
          <w:szCs w:val="22"/>
        </w:rPr>
        <w:t>2</w:t>
      </w:r>
      <w:r w:rsidRPr="0027399F">
        <w:rPr>
          <w:rFonts w:asciiTheme="minorHAnsi" w:hAnsiTheme="minorHAnsi" w:cstheme="minorHAnsi"/>
          <w:noProof/>
          <w:sz w:val="22"/>
          <w:szCs w:val="22"/>
        </w:rPr>
        <w:fldChar w:fldCharType="end"/>
      </w:r>
      <w:r w:rsidRPr="0027399F">
        <w:rPr>
          <w:rFonts w:asciiTheme="minorHAnsi" w:hAnsiTheme="minorHAnsi" w:cstheme="minorHAnsi"/>
          <w:sz w:val="22"/>
          <w:szCs w:val="22"/>
        </w:rPr>
        <w:t>: Evolving data standards Landscape</w:t>
      </w:r>
    </w:p>
    <w:p w14:paraId="05B4F51B" w14:textId="2DB47559" w:rsidR="0027399F" w:rsidRPr="0027399F" w:rsidRDefault="0027399F" w:rsidP="0027399F">
      <w:pPr>
        <w:pBdr>
          <w:top w:val="nil"/>
          <w:left w:val="nil"/>
          <w:bottom w:val="nil"/>
          <w:right w:val="nil"/>
          <w:between w:val="nil"/>
        </w:pBdr>
        <w:spacing w:before="20" w:line="240" w:lineRule="auto"/>
        <w:ind w:hanging="2"/>
        <w:jc w:val="both"/>
        <w:rPr>
          <w:rFonts w:eastAsia="Arial" w:cstheme="minorHAnsi"/>
          <w:color w:val="000000" w:themeColor="text1"/>
          <w:lang w:val="en-GB"/>
        </w:rPr>
      </w:pPr>
      <w:r w:rsidRPr="0027399F">
        <w:rPr>
          <w:rFonts w:eastAsia="Arial" w:cstheme="minorHAnsi"/>
          <w:color w:val="000000" w:themeColor="text1"/>
        </w:rPr>
        <w:t>As existing clinical standards are not well suited for bioinformatics analysis</w:t>
      </w:r>
      <w:r w:rsidRPr="0027399F" w:rsidDel="000C79BD">
        <w:rPr>
          <w:rFonts w:eastAsia="Arial" w:cstheme="minorHAnsi"/>
          <w:color w:val="000000" w:themeColor="text1"/>
        </w:rPr>
        <w:t xml:space="preserve"> </w:t>
      </w:r>
      <w:r w:rsidRPr="0027399F">
        <w:rPr>
          <w:rFonts w:eastAsia="Arial" w:cstheme="minorHAnsi"/>
          <w:color w:val="000000" w:themeColor="text1"/>
        </w:rPr>
        <w:t xml:space="preserve">a potential solution is </w:t>
      </w:r>
      <w:proofErr w:type="spellStart"/>
      <w:r w:rsidRPr="0027399F">
        <w:rPr>
          <w:rFonts w:eastAsia="Arial" w:cstheme="minorHAnsi"/>
          <w:color w:val="000000" w:themeColor="text1"/>
        </w:rPr>
        <w:t>BioCompute</w:t>
      </w:r>
      <w:proofErr w:type="spellEnd"/>
      <w:r w:rsidRPr="0027399F">
        <w:rPr>
          <w:rFonts w:eastAsia="Arial" w:cstheme="minorHAnsi"/>
          <w:color w:val="000000" w:themeColor="text1"/>
        </w:rPr>
        <w:t xml:space="preserve">. </w:t>
      </w:r>
      <w:r w:rsidRPr="0027399F">
        <w:rPr>
          <w:rFonts w:eastAsia="Arial" w:cstheme="minorHAnsi"/>
          <w:color w:val="000000" w:themeColor="text1"/>
          <w:lang w:val="en-GB"/>
        </w:rPr>
        <w:t>The IEEE 2791-2020 standard, which is colloquially known as “</w:t>
      </w:r>
      <w:proofErr w:type="spellStart"/>
      <w:r w:rsidRPr="0027399F">
        <w:rPr>
          <w:rFonts w:eastAsia="Arial" w:cstheme="minorHAnsi"/>
          <w:color w:val="000000" w:themeColor="text1"/>
          <w:lang w:val="en-GB"/>
        </w:rPr>
        <w:t>BioCompute</w:t>
      </w:r>
      <w:proofErr w:type="spellEnd"/>
      <w:r w:rsidRPr="0027399F">
        <w:rPr>
          <w:rFonts w:eastAsia="Arial" w:cstheme="minorHAnsi"/>
          <w:color w:val="000000" w:themeColor="text1"/>
          <w:lang w:val="en-GB"/>
        </w:rPr>
        <w:t xml:space="preserve">” was designed for documenting workflows and carries many relevant benefits. This global standard is a JSON-based standard for describing workflows. It standardizes metadata for workflows and helps manage complexity. Because it is written in JSON, it can accommodate nested or hierarchical relationships very well. An instance of a workflow which conforms to the standard is called a </w:t>
      </w:r>
      <w:proofErr w:type="spellStart"/>
      <w:r w:rsidRPr="0027399F">
        <w:rPr>
          <w:rFonts w:eastAsia="Arial" w:cstheme="minorHAnsi"/>
          <w:color w:val="000000" w:themeColor="text1"/>
          <w:lang w:val="en-GB"/>
        </w:rPr>
        <w:t>BioCompute</w:t>
      </w:r>
      <w:proofErr w:type="spellEnd"/>
      <w:r w:rsidRPr="0027399F">
        <w:rPr>
          <w:rFonts w:eastAsia="Arial" w:cstheme="minorHAnsi"/>
          <w:color w:val="000000" w:themeColor="text1"/>
          <w:lang w:val="en-GB"/>
        </w:rPr>
        <w:t xml:space="preserve"> Object (BCO).</w:t>
      </w:r>
    </w:p>
    <w:p w14:paraId="49A51767" w14:textId="39668977" w:rsidR="0027399F" w:rsidRPr="0027399F" w:rsidRDefault="0027399F" w:rsidP="0027399F">
      <w:pPr>
        <w:pBdr>
          <w:top w:val="nil"/>
          <w:left w:val="nil"/>
          <w:bottom w:val="nil"/>
          <w:right w:val="nil"/>
          <w:between w:val="nil"/>
        </w:pBdr>
        <w:spacing w:before="20" w:line="240" w:lineRule="auto"/>
        <w:ind w:hanging="2"/>
        <w:jc w:val="both"/>
        <w:rPr>
          <w:rFonts w:eastAsia="Arial" w:cstheme="minorHAnsi"/>
          <w:color w:val="000000" w:themeColor="text1"/>
          <w:lang w:val="en-GB"/>
        </w:rPr>
      </w:pPr>
      <w:r w:rsidRPr="0027399F">
        <w:rPr>
          <w:rFonts w:eastAsia="Arial" w:cstheme="minorHAnsi"/>
          <w:color w:val="000000" w:themeColor="text1"/>
          <w:lang w:val="en-GB"/>
        </w:rPr>
        <w:lastRenderedPageBreak/>
        <w:t xml:space="preserve">The initial conception of what would become </w:t>
      </w:r>
      <w:proofErr w:type="spellStart"/>
      <w:r w:rsidRPr="0027399F">
        <w:rPr>
          <w:rFonts w:eastAsia="Arial" w:cstheme="minorHAnsi"/>
          <w:color w:val="000000" w:themeColor="text1"/>
          <w:lang w:val="en-GB"/>
        </w:rPr>
        <w:t>BioCompute</w:t>
      </w:r>
      <w:proofErr w:type="spellEnd"/>
      <w:r w:rsidRPr="0027399F">
        <w:rPr>
          <w:rFonts w:eastAsia="Arial" w:cstheme="minorHAnsi"/>
          <w:color w:val="000000" w:themeColor="text1"/>
          <w:lang w:val="en-GB"/>
        </w:rPr>
        <w:t xml:space="preserve"> was proposed in 2012 at the United States National </w:t>
      </w:r>
      <w:proofErr w:type="spellStart"/>
      <w:r w:rsidRPr="0027399F">
        <w:rPr>
          <w:rFonts w:eastAsia="Arial" w:cstheme="minorHAnsi"/>
          <w:color w:val="000000" w:themeColor="text1"/>
          <w:lang w:val="en-GB"/>
        </w:rPr>
        <w:t>Center</w:t>
      </w:r>
      <w:proofErr w:type="spellEnd"/>
      <w:r w:rsidRPr="0027399F">
        <w:rPr>
          <w:rFonts w:eastAsia="Arial" w:cstheme="minorHAnsi"/>
          <w:color w:val="000000" w:themeColor="text1"/>
          <w:lang w:val="en-GB"/>
        </w:rPr>
        <w:t xml:space="preserve"> for Biotechnology Information (NCBI) as they were planning their data model for what would ultimately become the </w:t>
      </w:r>
      <w:proofErr w:type="spellStart"/>
      <w:r w:rsidRPr="0027399F">
        <w:rPr>
          <w:rFonts w:eastAsia="Arial" w:cstheme="minorHAnsi"/>
          <w:color w:val="000000" w:themeColor="text1"/>
          <w:lang w:val="en-GB"/>
        </w:rPr>
        <w:t>BioProject</w:t>
      </w:r>
      <w:proofErr w:type="spellEnd"/>
      <w:r w:rsidRPr="0027399F">
        <w:rPr>
          <w:rFonts w:eastAsia="Arial" w:cstheme="minorHAnsi"/>
          <w:color w:val="000000" w:themeColor="text1"/>
          <w:lang w:val="en-GB"/>
        </w:rPr>
        <w:t>. Rather than simply recording an assertion in a database, it was proposed that a standardized way of documenting a workflow needed to be developed in order to record provenance for pieces of data. For instance, a paper trail where researchers can investigate and repeat, if needed.</w:t>
      </w:r>
    </w:p>
    <w:p w14:paraId="0288A3C7" w14:textId="575BF815" w:rsidR="0027399F" w:rsidRPr="0027399F" w:rsidRDefault="0027399F" w:rsidP="0027399F">
      <w:pPr>
        <w:pBdr>
          <w:top w:val="nil"/>
          <w:left w:val="nil"/>
          <w:bottom w:val="nil"/>
          <w:right w:val="nil"/>
          <w:between w:val="nil"/>
        </w:pBdr>
        <w:spacing w:before="20" w:line="240" w:lineRule="auto"/>
        <w:ind w:hanging="2"/>
        <w:jc w:val="both"/>
        <w:rPr>
          <w:rFonts w:eastAsia="Arial" w:cstheme="minorHAnsi"/>
          <w:color w:val="000000" w:themeColor="text1"/>
          <w:lang w:val="en-GB"/>
        </w:rPr>
      </w:pPr>
      <w:r w:rsidRPr="0027399F">
        <w:rPr>
          <w:rFonts w:eastAsia="Arial" w:cstheme="minorHAnsi"/>
          <w:color w:val="000000" w:themeColor="text1"/>
          <w:lang w:val="en-GB"/>
        </w:rPr>
        <w:t xml:space="preserve">The idea gained traction at the US Food and Drug Administration (FDA). Miscommunications around workflows in regulatory submissions between the Agencies and sponsors are not uncommon. The </w:t>
      </w:r>
      <w:proofErr w:type="spellStart"/>
      <w:r w:rsidRPr="0027399F">
        <w:rPr>
          <w:rFonts w:eastAsia="Arial" w:cstheme="minorHAnsi"/>
          <w:color w:val="000000" w:themeColor="text1"/>
          <w:lang w:val="en-GB"/>
        </w:rPr>
        <w:t>BioCompute</w:t>
      </w:r>
      <w:proofErr w:type="spellEnd"/>
      <w:r w:rsidRPr="0027399F">
        <w:rPr>
          <w:rFonts w:eastAsia="Arial" w:cstheme="minorHAnsi"/>
          <w:color w:val="000000" w:themeColor="text1"/>
          <w:lang w:val="en-GB"/>
        </w:rPr>
        <w:t xml:space="preserve"> project aimed to improve clarity between the FDA and regulated industry by establishing a set of guidelines for the information which needs to be communicated, and how it should be communicated.</w:t>
      </w:r>
    </w:p>
    <w:p w14:paraId="422DB7EF" w14:textId="3E47F80C" w:rsidR="0027399F" w:rsidRPr="0027399F" w:rsidRDefault="0027399F" w:rsidP="0027399F">
      <w:pPr>
        <w:pBdr>
          <w:top w:val="nil"/>
          <w:left w:val="nil"/>
          <w:bottom w:val="nil"/>
          <w:right w:val="nil"/>
          <w:between w:val="nil"/>
        </w:pBdr>
        <w:spacing w:before="20" w:line="240" w:lineRule="auto"/>
        <w:ind w:hanging="2"/>
        <w:jc w:val="both"/>
        <w:rPr>
          <w:rFonts w:eastAsia="Arial" w:cstheme="minorHAnsi"/>
          <w:color w:val="000000" w:themeColor="text1"/>
          <w:lang w:val="en-GB"/>
        </w:rPr>
      </w:pPr>
      <w:r w:rsidRPr="0027399F">
        <w:rPr>
          <w:rFonts w:eastAsia="Arial" w:cstheme="minorHAnsi"/>
          <w:color w:val="000000" w:themeColor="text1"/>
          <w:lang w:val="en-GB"/>
        </w:rPr>
        <w:t>The project rapidly gained momentum from groups both inside and outside of the FDA. By the time the project led to a global standard in 2020, hundreds of individuals from dozens of organizations had already contributed. During this time, several use cases were proposed, including documentation for medical devices, genomics and other ‘omics workflows, and standards harmonization, in addition to the original data provenance use case.</w:t>
      </w:r>
    </w:p>
    <w:p w14:paraId="72C52B4D" w14:textId="16B87AB4" w:rsidR="0027399F" w:rsidRPr="0027399F" w:rsidRDefault="0027399F" w:rsidP="0027399F">
      <w:pPr>
        <w:pBdr>
          <w:top w:val="nil"/>
          <w:left w:val="nil"/>
          <w:bottom w:val="nil"/>
          <w:right w:val="nil"/>
          <w:between w:val="nil"/>
        </w:pBdr>
        <w:spacing w:before="20" w:line="240" w:lineRule="auto"/>
        <w:ind w:hanging="2"/>
        <w:jc w:val="both"/>
        <w:rPr>
          <w:rFonts w:eastAsia="Arial" w:cstheme="minorHAnsi"/>
          <w:color w:val="000000" w:themeColor="text1"/>
          <w:lang w:val="en-GB"/>
        </w:rPr>
      </w:pPr>
      <w:r w:rsidRPr="0027399F">
        <w:rPr>
          <w:rFonts w:eastAsia="Arial" w:cstheme="minorHAnsi"/>
          <w:color w:val="000000" w:themeColor="text1"/>
          <w:lang w:val="en-GB"/>
        </w:rPr>
        <w:t xml:space="preserve">After official global standardization through IEEE, documentation of workflows in genomics was the use case which gained the most traction. The FDA officially supported the standard across three </w:t>
      </w:r>
      <w:proofErr w:type="spellStart"/>
      <w:r w:rsidRPr="0027399F">
        <w:rPr>
          <w:rFonts w:eastAsia="Arial" w:cstheme="minorHAnsi"/>
          <w:color w:val="000000" w:themeColor="text1"/>
          <w:lang w:val="en-GB"/>
        </w:rPr>
        <w:t>centers</w:t>
      </w:r>
      <w:proofErr w:type="spellEnd"/>
      <w:r w:rsidRPr="0027399F">
        <w:rPr>
          <w:rFonts w:eastAsia="Arial" w:cstheme="minorHAnsi"/>
          <w:color w:val="000000" w:themeColor="text1"/>
          <w:lang w:val="en-GB"/>
        </w:rPr>
        <w:t xml:space="preserve"> [</w:t>
      </w:r>
      <w:hyperlink r:id="rId30" w:history="1">
        <w:r w:rsidRPr="0027399F">
          <w:rPr>
            <w:rStyle w:val="Hyperlink"/>
            <w:rFonts w:eastAsia="Arial" w:cstheme="minorHAnsi"/>
            <w:lang w:val="en-GB"/>
          </w:rPr>
          <w:t>Ref 18</w:t>
        </w:r>
      </w:hyperlink>
      <w:r w:rsidRPr="0027399F">
        <w:rPr>
          <w:rFonts w:eastAsia="Arial" w:cstheme="minorHAnsi"/>
          <w:color w:val="000000" w:themeColor="text1"/>
          <w:lang w:val="en-GB"/>
        </w:rPr>
        <w:t>]. BCOs have since started to be submitted for regulatory reviews for this purpose. A pilot project was recently launched in partnership with The George Washington University to map out the process and create guidance for usage of BCO. As of the date of this document, the results have not yet been published.</w:t>
      </w:r>
    </w:p>
    <w:p w14:paraId="111B1001" w14:textId="77777777" w:rsidR="0027399F" w:rsidRPr="0027399F" w:rsidRDefault="0027399F" w:rsidP="0027399F">
      <w:pPr>
        <w:pBdr>
          <w:top w:val="nil"/>
          <w:left w:val="nil"/>
          <w:bottom w:val="nil"/>
          <w:right w:val="nil"/>
          <w:between w:val="nil"/>
        </w:pBdr>
        <w:spacing w:before="20" w:line="240" w:lineRule="auto"/>
        <w:ind w:hanging="2"/>
        <w:jc w:val="both"/>
        <w:rPr>
          <w:rFonts w:eastAsia="Arial" w:cstheme="minorHAnsi"/>
          <w:color w:val="000000" w:themeColor="text1"/>
        </w:rPr>
      </w:pPr>
      <w:r w:rsidRPr="0027399F">
        <w:rPr>
          <w:rFonts w:eastAsia="Arial" w:cstheme="minorHAnsi"/>
          <w:color w:val="000000" w:themeColor="text1"/>
          <w:lang w:val="en-GB"/>
        </w:rPr>
        <w:t xml:space="preserve">A BCO is written in JavaScript Object Notation (JSON), a flexible, hierarchical structure that is well adapted to representing complex data, like nested relationships or annotations, and which is both human and machine readable. The schema for </w:t>
      </w:r>
      <w:proofErr w:type="spellStart"/>
      <w:r w:rsidRPr="0027399F">
        <w:rPr>
          <w:rFonts w:eastAsia="Arial" w:cstheme="minorHAnsi"/>
          <w:color w:val="000000" w:themeColor="text1"/>
          <w:lang w:val="en-GB"/>
        </w:rPr>
        <w:t>BioCompute</w:t>
      </w:r>
      <w:proofErr w:type="spellEnd"/>
      <w:r w:rsidRPr="0027399F">
        <w:rPr>
          <w:rFonts w:eastAsia="Arial" w:cstheme="minorHAnsi"/>
          <w:color w:val="000000" w:themeColor="text1"/>
          <w:lang w:val="en-GB"/>
        </w:rPr>
        <w:t xml:space="preserve"> [</w:t>
      </w:r>
      <w:hyperlink r:id="rId31" w:history="1">
        <w:r w:rsidRPr="0027399F">
          <w:rPr>
            <w:rStyle w:val="Hyperlink"/>
            <w:rFonts w:eastAsia="Arial" w:cstheme="minorHAnsi"/>
            <w:lang w:val="en-GB"/>
          </w:rPr>
          <w:t>Ref 19</w:t>
        </w:r>
      </w:hyperlink>
      <w:r w:rsidRPr="0027399F">
        <w:rPr>
          <w:rFonts w:eastAsia="Arial" w:cstheme="minorHAnsi"/>
          <w:color w:val="000000" w:themeColor="text1"/>
          <w:lang w:val="en-GB"/>
        </w:rPr>
        <w:t>] breaks a workflow down into 8 “domains,” 5 of which are required. These domains capture specific portions of workflows and can capture external data resources used in an analysis, including domain-specific identifiers, timestamps, and versions. A BCO does not include data within it but acts like a manifest of the data by using URIs, which are flexible identifiers.</w:t>
      </w:r>
    </w:p>
    <w:p w14:paraId="7B2F4BF9" w14:textId="021DEA37" w:rsidR="00467F52" w:rsidRPr="0027399F" w:rsidRDefault="0027399F" w:rsidP="0027399F">
      <w:pPr>
        <w:spacing w:line="240" w:lineRule="auto"/>
        <w:rPr>
          <w:rFonts w:eastAsia="Arial" w:cstheme="minorHAnsi"/>
          <w:b/>
          <w:bCs/>
          <w:smallCaps/>
          <w:color w:val="000000" w:themeColor="text1"/>
        </w:rPr>
      </w:pPr>
      <w:r w:rsidRPr="0027399F">
        <w:rPr>
          <w:rFonts w:eastAsia="Arial" w:cstheme="minorHAnsi"/>
          <w:b/>
          <w:bCs/>
          <w:smallCaps/>
          <w:color w:val="000000" w:themeColor="text1"/>
        </w:rPr>
        <w:br w:type="page"/>
      </w:r>
    </w:p>
    <w:p w14:paraId="2A6A99B8" w14:textId="69FDB1C7" w:rsidR="00467F52" w:rsidRPr="0027399F" w:rsidRDefault="00467F52" w:rsidP="00467F52">
      <w:pPr>
        <w:pStyle w:val="Heading1"/>
        <w:rPr>
          <w:rFonts w:asciiTheme="minorHAnsi" w:hAnsiTheme="minorHAnsi" w:cstheme="minorHAnsi"/>
        </w:rPr>
      </w:pPr>
      <w:bookmarkStart w:id="5" w:name="_Toc93493878"/>
      <w:r w:rsidRPr="0027399F">
        <w:rPr>
          <w:rFonts w:asciiTheme="minorHAnsi" w:hAnsiTheme="minorHAnsi" w:cstheme="minorHAnsi"/>
        </w:rPr>
        <w:lastRenderedPageBreak/>
        <w:t>6: Results and Solutions:</w:t>
      </w:r>
      <w:bookmarkEnd w:id="5"/>
    </w:p>
    <w:p w14:paraId="62089BD8" w14:textId="6F92570E" w:rsidR="0027399F" w:rsidRPr="0027399F" w:rsidRDefault="0027399F" w:rsidP="0027399F">
      <w:pPr>
        <w:widowControl/>
        <w:pBdr>
          <w:top w:val="nil"/>
          <w:left w:val="nil"/>
          <w:bottom w:val="nil"/>
          <w:right w:val="nil"/>
          <w:between w:val="nil"/>
        </w:pBdr>
        <w:spacing w:before="120" w:line="240" w:lineRule="auto"/>
        <w:ind w:hanging="2"/>
        <w:rPr>
          <w:rFonts w:eastAsia="Arial" w:cstheme="minorHAnsi"/>
          <w:b/>
          <w:bCs/>
          <w:smallCaps/>
          <w:color w:val="000000" w:themeColor="text1"/>
        </w:rPr>
      </w:pPr>
      <w:r w:rsidRPr="0027399F">
        <w:rPr>
          <w:rFonts w:eastAsia="Arial" w:cstheme="minorHAnsi"/>
          <w:b/>
          <w:bCs/>
          <w:smallCaps/>
          <w:color w:val="000000" w:themeColor="text1"/>
        </w:rPr>
        <w:t>BIOCOMPUTE</w:t>
      </w:r>
    </w:p>
    <w:p w14:paraId="2CACE957" w14:textId="5C229A37" w:rsidR="0027399F" w:rsidRPr="0027399F" w:rsidRDefault="0027399F" w:rsidP="0027399F">
      <w:pPr>
        <w:pBdr>
          <w:top w:val="nil"/>
          <w:left w:val="nil"/>
          <w:bottom w:val="nil"/>
          <w:right w:val="nil"/>
          <w:between w:val="nil"/>
        </w:pBdr>
        <w:spacing w:before="20" w:line="240" w:lineRule="auto"/>
        <w:ind w:hanging="2"/>
        <w:jc w:val="both"/>
        <w:rPr>
          <w:rFonts w:eastAsia="Arial" w:cstheme="minorHAnsi"/>
          <w:color w:val="000000" w:themeColor="text1"/>
          <w:lang w:val="en-GB"/>
        </w:rPr>
      </w:pPr>
      <w:proofErr w:type="spellStart"/>
      <w:r w:rsidRPr="0027399F">
        <w:rPr>
          <w:rFonts w:eastAsia="Arial" w:cstheme="minorHAnsi"/>
          <w:color w:val="000000" w:themeColor="text1"/>
          <w:lang w:val="en-GB"/>
        </w:rPr>
        <w:t>BioCompute</w:t>
      </w:r>
      <w:proofErr w:type="spellEnd"/>
      <w:r w:rsidRPr="0027399F">
        <w:rPr>
          <w:rFonts w:eastAsia="Arial" w:cstheme="minorHAnsi"/>
          <w:color w:val="000000" w:themeColor="text1"/>
          <w:lang w:val="en-GB"/>
        </w:rPr>
        <w:t xml:space="preserve"> has been used in a pilot submission to the US FDA in partnership with pharmaceutical companies, and has started to be used in regulatory submissions. The standard was written to be relatively easy to implement, so as not to excessively increase the burden on regulated industry. </w:t>
      </w:r>
    </w:p>
    <w:p w14:paraId="5E7249E9" w14:textId="36831090" w:rsidR="0027399F" w:rsidRPr="0027399F" w:rsidRDefault="0027399F" w:rsidP="0027399F">
      <w:pPr>
        <w:pBdr>
          <w:top w:val="nil"/>
          <w:left w:val="nil"/>
          <w:bottom w:val="nil"/>
          <w:right w:val="nil"/>
          <w:between w:val="nil"/>
        </w:pBdr>
        <w:spacing w:before="20" w:line="240" w:lineRule="auto"/>
        <w:ind w:hanging="2"/>
        <w:jc w:val="both"/>
        <w:rPr>
          <w:rFonts w:eastAsia="Arial" w:cstheme="minorHAnsi"/>
          <w:color w:val="000000" w:themeColor="text1"/>
        </w:rPr>
      </w:pPr>
      <w:r w:rsidRPr="0027399F">
        <w:rPr>
          <w:rFonts w:eastAsia="Arial" w:cstheme="minorHAnsi"/>
          <w:color w:val="000000" w:themeColor="text1"/>
          <w:lang w:val="en-GB"/>
        </w:rPr>
        <w:t>In support of this goal biocomputeobject.org [</w:t>
      </w:r>
      <w:hyperlink r:id="rId32" w:history="1">
        <w:r w:rsidRPr="0027399F">
          <w:rPr>
            <w:rStyle w:val="Hyperlink"/>
            <w:rFonts w:eastAsia="Arial" w:cstheme="minorHAnsi"/>
            <w:lang w:val="en-GB"/>
          </w:rPr>
          <w:t>Ref 20</w:t>
        </w:r>
      </w:hyperlink>
      <w:r w:rsidRPr="0027399F">
        <w:rPr>
          <w:rFonts w:eastAsia="Arial" w:cstheme="minorHAnsi"/>
          <w:color w:val="000000" w:themeColor="text1"/>
          <w:lang w:val="en-GB"/>
        </w:rPr>
        <w:t>] was developed as a community resource. The website includes: 1) FAQs developed in pilot submissions to the FDA; 2) tutorials; 3) technical notes for working with the standard; 4) wiki links to tools and other resources for working with the standard; and 5) a portal for building and hosting BCOs. This Portal is a clone of the Portal currently running inside the FDA firewall, but not yet open to the public.</w:t>
      </w:r>
    </w:p>
    <w:p w14:paraId="152B8968" w14:textId="3503A09A" w:rsidR="0027399F" w:rsidRPr="0027399F" w:rsidRDefault="0027399F" w:rsidP="0027399F">
      <w:pPr>
        <w:pBdr>
          <w:top w:val="nil"/>
          <w:left w:val="nil"/>
          <w:bottom w:val="nil"/>
          <w:right w:val="nil"/>
          <w:between w:val="nil"/>
        </w:pBdr>
        <w:spacing w:before="20" w:line="240" w:lineRule="auto"/>
        <w:ind w:hanging="2"/>
        <w:jc w:val="both"/>
        <w:rPr>
          <w:rFonts w:eastAsia="Arial" w:cstheme="minorHAnsi"/>
          <w:color w:val="000000" w:themeColor="text1"/>
          <w:lang w:val="en-GB"/>
        </w:rPr>
      </w:pPr>
      <w:r w:rsidRPr="0027399F">
        <w:rPr>
          <w:rFonts w:eastAsia="Arial" w:cstheme="minorHAnsi"/>
          <w:color w:val="000000" w:themeColor="text1"/>
          <w:lang w:val="en-GB"/>
        </w:rPr>
        <w:t>Since standardization, other tools have been developed to work with the standard, including: an R package [</w:t>
      </w:r>
      <w:hyperlink r:id="rId33" w:history="1">
        <w:r w:rsidRPr="0027399F">
          <w:rPr>
            <w:rStyle w:val="Hyperlink"/>
            <w:rFonts w:eastAsia="Arial" w:cstheme="minorHAnsi"/>
            <w:lang w:val="en-GB"/>
          </w:rPr>
          <w:t>Ref 21</w:t>
        </w:r>
      </w:hyperlink>
      <w:r w:rsidRPr="0027399F">
        <w:rPr>
          <w:rFonts w:eastAsia="Arial" w:cstheme="minorHAnsi"/>
          <w:color w:val="000000" w:themeColor="text1"/>
          <w:lang w:val="en-GB"/>
        </w:rPr>
        <w:t>], an R Shiny app [</w:t>
      </w:r>
      <w:hyperlink r:id="rId34" w:history="1">
        <w:r w:rsidRPr="0027399F">
          <w:rPr>
            <w:rStyle w:val="Hyperlink"/>
            <w:rFonts w:eastAsia="Arial" w:cstheme="minorHAnsi"/>
            <w:lang w:val="en-GB"/>
          </w:rPr>
          <w:t>Ref 22</w:t>
        </w:r>
      </w:hyperlink>
      <w:r w:rsidRPr="0027399F">
        <w:rPr>
          <w:rFonts w:eastAsia="Arial" w:cstheme="minorHAnsi"/>
          <w:color w:val="000000" w:themeColor="text1"/>
          <w:lang w:val="en-GB"/>
        </w:rPr>
        <w:t xml:space="preserve">], platform-specific tools like the </w:t>
      </w:r>
      <w:proofErr w:type="spellStart"/>
      <w:r w:rsidRPr="0027399F">
        <w:rPr>
          <w:rFonts w:eastAsia="Arial" w:cstheme="minorHAnsi"/>
          <w:color w:val="000000" w:themeColor="text1"/>
          <w:lang w:val="en-GB"/>
        </w:rPr>
        <w:t>BCOnexus</w:t>
      </w:r>
      <w:proofErr w:type="spellEnd"/>
      <w:r w:rsidRPr="0027399F">
        <w:rPr>
          <w:rFonts w:eastAsia="Arial" w:cstheme="minorHAnsi"/>
          <w:color w:val="000000" w:themeColor="text1"/>
          <w:lang w:val="en-GB"/>
        </w:rPr>
        <w:t xml:space="preserve"> for </w:t>
      </w:r>
      <w:proofErr w:type="spellStart"/>
      <w:r w:rsidRPr="0027399F">
        <w:rPr>
          <w:rFonts w:eastAsia="Arial" w:cstheme="minorHAnsi"/>
          <w:color w:val="000000" w:themeColor="text1"/>
          <w:lang w:val="en-GB"/>
        </w:rPr>
        <w:t>DNAnexus</w:t>
      </w:r>
      <w:proofErr w:type="spellEnd"/>
      <w:r w:rsidRPr="0027399F">
        <w:rPr>
          <w:rFonts w:eastAsia="Arial" w:cstheme="minorHAnsi"/>
          <w:color w:val="000000" w:themeColor="text1"/>
          <w:lang w:val="en-GB"/>
        </w:rPr>
        <w:t xml:space="preserve"> [</w:t>
      </w:r>
      <w:hyperlink r:id="rId35" w:history="1">
        <w:r w:rsidRPr="0027399F">
          <w:rPr>
            <w:rStyle w:val="Hyperlink"/>
            <w:rFonts w:eastAsia="Arial" w:cstheme="minorHAnsi"/>
            <w:lang w:val="en-GB"/>
          </w:rPr>
          <w:t>Ref 23</w:t>
        </w:r>
      </w:hyperlink>
      <w:r w:rsidRPr="0027399F">
        <w:rPr>
          <w:rFonts w:eastAsia="Arial" w:cstheme="minorHAnsi"/>
          <w:color w:val="000000" w:themeColor="text1"/>
          <w:lang w:val="en-GB"/>
        </w:rPr>
        <w:t xml:space="preserve">], the </w:t>
      </w:r>
      <w:proofErr w:type="spellStart"/>
      <w:r w:rsidRPr="0027399F">
        <w:rPr>
          <w:rFonts w:eastAsia="Arial" w:cstheme="minorHAnsi"/>
          <w:color w:val="000000" w:themeColor="text1"/>
          <w:lang w:val="en-GB"/>
        </w:rPr>
        <w:t>BioCompute</w:t>
      </w:r>
      <w:proofErr w:type="spellEnd"/>
      <w:r w:rsidRPr="0027399F">
        <w:rPr>
          <w:rFonts w:eastAsia="Arial" w:cstheme="minorHAnsi"/>
          <w:color w:val="000000" w:themeColor="text1"/>
          <w:lang w:val="en-GB"/>
        </w:rPr>
        <w:t xml:space="preserve"> tool on </w:t>
      </w:r>
      <w:proofErr w:type="spellStart"/>
      <w:r w:rsidRPr="0027399F">
        <w:rPr>
          <w:rFonts w:eastAsia="Arial" w:cstheme="minorHAnsi"/>
          <w:color w:val="000000" w:themeColor="text1"/>
          <w:lang w:val="en-GB"/>
        </w:rPr>
        <w:t>Velsera’s</w:t>
      </w:r>
      <w:proofErr w:type="spellEnd"/>
      <w:r w:rsidRPr="0027399F">
        <w:rPr>
          <w:rFonts w:eastAsia="Arial" w:cstheme="minorHAnsi"/>
          <w:color w:val="000000" w:themeColor="text1"/>
          <w:lang w:val="en-GB"/>
        </w:rPr>
        <w:t xml:space="preserve"> platforms (Cavatica, Cancer Genomics Cloud, Seven Bridges, and </w:t>
      </w:r>
      <w:proofErr w:type="spellStart"/>
      <w:r w:rsidRPr="0027399F">
        <w:rPr>
          <w:rFonts w:eastAsia="Arial" w:cstheme="minorHAnsi"/>
          <w:color w:val="000000" w:themeColor="text1"/>
          <w:lang w:val="en-GB"/>
        </w:rPr>
        <w:t>BioData</w:t>
      </w:r>
      <w:proofErr w:type="spellEnd"/>
      <w:r w:rsidRPr="0027399F">
        <w:rPr>
          <w:rFonts w:eastAsia="Arial" w:cstheme="minorHAnsi"/>
          <w:color w:val="000000" w:themeColor="text1"/>
          <w:lang w:val="en-GB"/>
        </w:rPr>
        <w:t xml:space="preserve"> Catalyst) [</w:t>
      </w:r>
      <w:hyperlink r:id="rId36" w:history="1">
        <w:r w:rsidRPr="0027399F">
          <w:rPr>
            <w:rStyle w:val="Hyperlink"/>
            <w:rFonts w:eastAsia="Arial" w:cstheme="minorHAnsi"/>
            <w:lang w:val="en-GB"/>
          </w:rPr>
          <w:t>Ref 24</w:t>
        </w:r>
      </w:hyperlink>
      <w:r w:rsidRPr="0027399F">
        <w:rPr>
          <w:rFonts w:eastAsia="Arial" w:cstheme="minorHAnsi"/>
          <w:color w:val="000000" w:themeColor="text1"/>
          <w:lang w:val="en-GB"/>
        </w:rPr>
        <w:t xml:space="preserve">], the </w:t>
      </w:r>
      <w:proofErr w:type="spellStart"/>
      <w:r w:rsidRPr="0027399F">
        <w:rPr>
          <w:rFonts w:eastAsia="Arial" w:cstheme="minorHAnsi"/>
          <w:color w:val="000000" w:themeColor="text1"/>
          <w:lang w:val="en-GB"/>
        </w:rPr>
        <w:t>Nextflow</w:t>
      </w:r>
      <w:proofErr w:type="spellEnd"/>
      <w:r w:rsidRPr="0027399F">
        <w:rPr>
          <w:rFonts w:eastAsia="Arial" w:cstheme="minorHAnsi"/>
          <w:color w:val="000000" w:themeColor="text1"/>
          <w:lang w:val="en-GB"/>
        </w:rPr>
        <w:t xml:space="preserve"> engine [</w:t>
      </w:r>
      <w:hyperlink r:id="rId37" w:history="1">
        <w:r w:rsidRPr="0027399F">
          <w:rPr>
            <w:rStyle w:val="Hyperlink"/>
            <w:rFonts w:cstheme="minorHAnsi"/>
          </w:rPr>
          <w:t>Ref 25</w:t>
        </w:r>
      </w:hyperlink>
      <w:r w:rsidRPr="0027399F">
        <w:rPr>
          <w:rFonts w:cstheme="minorHAnsi"/>
        </w:rPr>
        <w:t>]</w:t>
      </w:r>
      <w:r w:rsidRPr="0027399F">
        <w:rPr>
          <w:rFonts w:eastAsia="Arial" w:cstheme="minorHAnsi"/>
          <w:color w:val="000000" w:themeColor="text1"/>
          <w:lang w:val="en-GB"/>
        </w:rPr>
        <w:t xml:space="preserve">, and the </w:t>
      </w:r>
      <w:proofErr w:type="spellStart"/>
      <w:r w:rsidRPr="0027399F">
        <w:rPr>
          <w:rFonts w:eastAsia="Arial" w:cstheme="minorHAnsi"/>
          <w:color w:val="000000" w:themeColor="text1"/>
          <w:lang w:val="en-GB"/>
        </w:rPr>
        <w:t>BioCompute</w:t>
      </w:r>
      <w:proofErr w:type="spellEnd"/>
      <w:r w:rsidRPr="0027399F">
        <w:rPr>
          <w:rFonts w:eastAsia="Arial" w:cstheme="minorHAnsi"/>
          <w:color w:val="000000" w:themeColor="text1"/>
          <w:lang w:val="en-GB"/>
        </w:rPr>
        <w:t xml:space="preserve"> export on Galaxy, and even an LLM-based tool to help with generating the plain text descriptions from a workflow [</w:t>
      </w:r>
      <w:hyperlink r:id="rId38" w:history="1">
        <w:r w:rsidRPr="0027399F">
          <w:rPr>
            <w:rStyle w:val="Hyperlink"/>
            <w:rFonts w:cstheme="minorHAnsi"/>
          </w:rPr>
          <w:t>Ref 26</w:t>
        </w:r>
      </w:hyperlink>
      <w:r w:rsidRPr="0027399F">
        <w:rPr>
          <w:rFonts w:cstheme="minorHAnsi"/>
        </w:rPr>
        <w:t>]</w:t>
      </w:r>
      <w:r w:rsidRPr="0027399F">
        <w:rPr>
          <w:rFonts w:eastAsia="Arial" w:cstheme="minorHAnsi"/>
          <w:color w:val="000000" w:themeColor="text1"/>
          <w:lang w:val="en-GB"/>
        </w:rPr>
        <w:t>.</w:t>
      </w:r>
    </w:p>
    <w:p w14:paraId="424304BE" w14:textId="77777777" w:rsidR="0027399F" w:rsidRPr="0027399F" w:rsidRDefault="0027399F" w:rsidP="0027399F">
      <w:pPr>
        <w:keepNext/>
        <w:pBdr>
          <w:top w:val="nil"/>
          <w:left w:val="nil"/>
          <w:bottom w:val="nil"/>
          <w:right w:val="nil"/>
          <w:between w:val="nil"/>
        </w:pBdr>
        <w:spacing w:before="20" w:line="240" w:lineRule="auto"/>
        <w:ind w:hanging="2"/>
        <w:jc w:val="center"/>
        <w:rPr>
          <w:rFonts w:cstheme="minorHAnsi"/>
        </w:rPr>
      </w:pPr>
      <w:r w:rsidRPr="0027399F">
        <w:rPr>
          <w:rFonts w:eastAsia="Arial" w:cstheme="minorHAnsi"/>
          <w:noProof/>
          <w:color w:val="000000" w:themeColor="text1"/>
          <w:lang w:val="en-GB"/>
        </w:rPr>
        <w:drawing>
          <wp:inline distT="0" distB="0" distL="0" distR="0" wp14:anchorId="47E8BF39" wp14:editId="1363BE8D">
            <wp:extent cx="3683000" cy="3553938"/>
            <wp:effectExtent l="0" t="0" r="0" b="8890"/>
            <wp:docPr id="58083228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832283" name="Picture 1" descr="A screenshot of a computer&#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89512" cy="3560222"/>
                    </a:xfrm>
                    <a:prstGeom prst="rect">
                      <a:avLst/>
                    </a:prstGeom>
                  </pic:spPr>
                </pic:pic>
              </a:graphicData>
            </a:graphic>
          </wp:inline>
        </w:drawing>
      </w:r>
    </w:p>
    <w:p w14:paraId="2019BC13" w14:textId="77777777" w:rsidR="0027399F" w:rsidRPr="0027399F" w:rsidRDefault="0027399F" w:rsidP="0027399F">
      <w:pPr>
        <w:pStyle w:val="Caption"/>
        <w:ind w:left="0" w:hanging="2"/>
        <w:rPr>
          <w:rFonts w:asciiTheme="minorHAnsi" w:hAnsiTheme="minorHAnsi" w:cstheme="minorHAnsi"/>
          <w:sz w:val="22"/>
          <w:szCs w:val="22"/>
        </w:rPr>
      </w:pPr>
      <w:r w:rsidRPr="0027399F">
        <w:rPr>
          <w:rFonts w:asciiTheme="minorHAnsi" w:hAnsiTheme="minorHAnsi" w:cstheme="minorHAnsi"/>
          <w:sz w:val="22"/>
          <w:szCs w:val="22"/>
        </w:rPr>
        <w:t xml:space="preserve">Figure </w:t>
      </w:r>
      <w:r w:rsidRPr="0027399F">
        <w:rPr>
          <w:rFonts w:asciiTheme="minorHAnsi" w:hAnsiTheme="minorHAnsi" w:cstheme="minorHAnsi"/>
          <w:sz w:val="22"/>
          <w:szCs w:val="22"/>
        </w:rPr>
        <w:fldChar w:fldCharType="begin"/>
      </w:r>
      <w:r w:rsidRPr="0027399F">
        <w:rPr>
          <w:rFonts w:asciiTheme="minorHAnsi" w:hAnsiTheme="minorHAnsi" w:cstheme="minorHAnsi"/>
          <w:sz w:val="22"/>
          <w:szCs w:val="22"/>
        </w:rPr>
        <w:instrText xml:space="preserve"> SEQ Figure \* ARABIC </w:instrText>
      </w:r>
      <w:r w:rsidRPr="0027399F">
        <w:rPr>
          <w:rFonts w:asciiTheme="minorHAnsi" w:hAnsiTheme="minorHAnsi" w:cstheme="minorHAnsi"/>
          <w:sz w:val="22"/>
          <w:szCs w:val="22"/>
        </w:rPr>
        <w:fldChar w:fldCharType="separate"/>
      </w:r>
      <w:r w:rsidRPr="0027399F">
        <w:rPr>
          <w:rFonts w:asciiTheme="minorHAnsi" w:hAnsiTheme="minorHAnsi" w:cstheme="minorHAnsi"/>
          <w:noProof/>
          <w:sz w:val="22"/>
          <w:szCs w:val="22"/>
        </w:rPr>
        <w:t>3</w:t>
      </w:r>
      <w:r w:rsidRPr="0027399F">
        <w:rPr>
          <w:rFonts w:asciiTheme="minorHAnsi" w:hAnsiTheme="minorHAnsi" w:cstheme="minorHAnsi"/>
          <w:noProof/>
          <w:sz w:val="22"/>
          <w:szCs w:val="22"/>
        </w:rPr>
        <w:fldChar w:fldCharType="end"/>
      </w:r>
      <w:r w:rsidRPr="0027399F">
        <w:rPr>
          <w:rFonts w:asciiTheme="minorHAnsi" w:hAnsiTheme="minorHAnsi" w:cstheme="minorHAnsi"/>
          <w:sz w:val="22"/>
          <w:szCs w:val="22"/>
        </w:rPr>
        <w:t xml:space="preserve"> Overview of a </w:t>
      </w:r>
      <w:proofErr w:type="spellStart"/>
      <w:r w:rsidRPr="0027399F">
        <w:rPr>
          <w:rFonts w:asciiTheme="minorHAnsi" w:hAnsiTheme="minorHAnsi" w:cstheme="minorHAnsi"/>
          <w:sz w:val="22"/>
          <w:szCs w:val="22"/>
        </w:rPr>
        <w:t>BioCompute</w:t>
      </w:r>
      <w:proofErr w:type="spellEnd"/>
      <w:r w:rsidRPr="0027399F">
        <w:rPr>
          <w:rFonts w:asciiTheme="minorHAnsi" w:hAnsiTheme="minorHAnsi" w:cstheme="minorHAnsi"/>
          <w:sz w:val="22"/>
          <w:szCs w:val="22"/>
        </w:rPr>
        <w:t xml:space="preserve"> Object (BCO). BCOs are organized into 8 top level domains, 5 of </w:t>
      </w:r>
      <w:r w:rsidRPr="0027399F">
        <w:rPr>
          <w:rFonts w:asciiTheme="minorHAnsi" w:hAnsiTheme="minorHAnsi" w:cstheme="minorHAnsi"/>
          <w:sz w:val="22"/>
          <w:szCs w:val="22"/>
        </w:rPr>
        <w:lastRenderedPageBreak/>
        <w:t>which are required, 3 are optional. The 5 required domains are: Provenance (records information about the provenance of the workflow itself (who carried out the workflow itself (who carried out the work, what their role was, what the timestamp was)), Usability (high level description of the purpose and other contextual information), Description (details about each step, including its scientific rationale), IO (manifest of inputs and outputs used for the workflow), and Execution (information about the environment that the workflow was executed in). The three optional domains are: Parametric (parameters associated with each step, only required if the uses non-default values), Error (information related to error in the pipeline, such as limits of detection, margins, etc.), and Extension (user-defined mechanism for making the standard extensible).</w:t>
      </w:r>
    </w:p>
    <w:p w14:paraId="0344A8B9" w14:textId="5D1F4352" w:rsidR="0027399F" w:rsidRPr="0027399F" w:rsidRDefault="0027399F" w:rsidP="00FF3FFD">
      <w:pPr>
        <w:pBdr>
          <w:top w:val="nil"/>
          <w:left w:val="nil"/>
          <w:bottom w:val="nil"/>
          <w:right w:val="nil"/>
          <w:between w:val="nil"/>
        </w:pBdr>
        <w:spacing w:before="20" w:line="240" w:lineRule="auto"/>
        <w:jc w:val="both"/>
        <w:rPr>
          <w:rFonts w:eastAsia="Arial" w:cstheme="minorHAnsi"/>
          <w:color w:val="000000" w:themeColor="text1"/>
          <w:lang w:val="en-GB"/>
        </w:rPr>
      </w:pPr>
      <w:r w:rsidRPr="0027399F">
        <w:rPr>
          <w:rFonts w:eastAsia="Arial" w:cstheme="minorHAnsi"/>
          <w:color w:val="000000" w:themeColor="text1"/>
          <w:lang w:val="en-GB"/>
        </w:rPr>
        <w:t>A “Portal” was also developed as a repository to store BCOs [ The Portal uses “prefixes” in the unique identifiers.</w:t>
      </w:r>
    </w:p>
    <w:p w14:paraId="10F3B915" w14:textId="136686EB" w:rsidR="0027399F" w:rsidRPr="0027399F" w:rsidRDefault="0027399F" w:rsidP="0027399F">
      <w:pPr>
        <w:pBdr>
          <w:top w:val="nil"/>
          <w:left w:val="nil"/>
          <w:bottom w:val="nil"/>
          <w:right w:val="nil"/>
          <w:between w:val="nil"/>
        </w:pBdr>
        <w:spacing w:before="20" w:line="240" w:lineRule="auto"/>
        <w:ind w:hanging="2"/>
        <w:jc w:val="both"/>
        <w:rPr>
          <w:rFonts w:eastAsia="Arial" w:cstheme="minorHAnsi"/>
          <w:color w:val="000000" w:themeColor="text1"/>
        </w:rPr>
      </w:pPr>
      <w:r w:rsidRPr="0027399F">
        <w:rPr>
          <w:rFonts w:eastAsia="Arial" w:cstheme="minorHAnsi"/>
          <w:color w:val="000000" w:themeColor="text1"/>
          <w:lang w:val="en-GB"/>
        </w:rPr>
        <w:t xml:space="preserve">The harmonization of data standards is particularly relevant for the integration of omics data with clinical and non-clinical data sources. More recently, there has also been an additional use case as a security implementation. The Federated Ecosystem for Analytics and Standardization Technologies (FEAST) project is an ARPA-H funded project meant to bridge healthcare data from a plurality of healthcare organizations to drive insights into healthcare data. A major goal of the project is to standardize clinical data from all of the participating institutions, and another goal is to ensure the integrity of the computational analyses being run. Essentially, how can we guarantee that any bioinformatic tool that’s being used to </w:t>
      </w:r>
      <w:proofErr w:type="spellStart"/>
      <w:r w:rsidRPr="0027399F">
        <w:rPr>
          <w:rFonts w:eastAsia="Arial" w:cstheme="minorHAnsi"/>
          <w:color w:val="000000" w:themeColor="text1"/>
          <w:lang w:val="en-GB"/>
        </w:rPr>
        <w:t>analyze</w:t>
      </w:r>
      <w:proofErr w:type="spellEnd"/>
      <w:r w:rsidRPr="0027399F">
        <w:rPr>
          <w:rFonts w:eastAsia="Arial" w:cstheme="minorHAnsi"/>
          <w:color w:val="000000" w:themeColor="text1"/>
          <w:lang w:val="en-GB"/>
        </w:rPr>
        <w:t xml:space="preserve"> sensitive clinical data hasn’t been tampered with? </w:t>
      </w:r>
      <w:proofErr w:type="spellStart"/>
      <w:r w:rsidRPr="0027399F">
        <w:rPr>
          <w:rFonts w:eastAsia="Arial" w:cstheme="minorHAnsi"/>
          <w:color w:val="000000" w:themeColor="text1"/>
          <w:lang w:val="en-GB"/>
        </w:rPr>
        <w:t>BioCompute</w:t>
      </w:r>
      <w:proofErr w:type="spellEnd"/>
      <w:r w:rsidRPr="0027399F">
        <w:rPr>
          <w:rFonts w:eastAsia="Arial" w:cstheme="minorHAnsi"/>
          <w:color w:val="000000" w:themeColor="text1"/>
          <w:lang w:val="en-GB"/>
        </w:rPr>
        <w:t xml:space="preserve"> workflow hashes are used and distributed to all of the participating sites to ensure that vetted analyses are executing as expected.</w:t>
      </w:r>
    </w:p>
    <w:p w14:paraId="71100483" w14:textId="77777777" w:rsidR="0027399F" w:rsidRPr="0027399F" w:rsidRDefault="0027399F" w:rsidP="0027399F">
      <w:pPr>
        <w:pBdr>
          <w:top w:val="nil"/>
          <w:left w:val="nil"/>
          <w:bottom w:val="nil"/>
          <w:right w:val="nil"/>
          <w:between w:val="nil"/>
        </w:pBdr>
        <w:spacing w:before="20" w:line="240" w:lineRule="auto"/>
        <w:ind w:hanging="2"/>
        <w:jc w:val="both"/>
        <w:rPr>
          <w:rFonts w:eastAsia="Arial" w:cstheme="minorHAnsi"/>
          <w:b/>
          <w:bCs/>
          <w:i/>
          <w:iCs/>
          <w:color w:val="000000" w:themeColor="text1"/>
          <w:u w:val="single"/>
        </w:rPr>
      </w:pPr>
      <w:proofErr w:type="spellStart"/>
      <w:r w:rsidRPr="0027399F">
        <w:rPr>
          <w:rFonts w:eastAsia="Arial" w:cstheme="minorHAnsi"/>
          <w:color w:val="000000" w:themeColor="text1"/>
          <w:lang w:val="en-GB"/>
        </w:rPr>
        <w:t>BioCompute</w:t>
      </w:r>
      <w:proofErr w:type="spellEnd"/>
      <w:r w:rsidRPr="0027399F">
        <w:rPr>
          <w:rFonts w:eastAsia="Arial" w:cstheme="minorHAnsi"/>
          <w:color w:val="000000" w:themeColor="text1"/>
          <w:lang w:val="en-GB"/>
        </w:rPr>
        <w:t xml:space="preserve"> is a flexible, powerful way to document a workflow in a way that sets a common set of expectations through the official standard, and which can accommodate complex workflows like omics workflows.</w:t>
      </w:r>
    </w:p>
    <w:p w14:paraId="5FC99D11" w14:textId="5F52AEF3" w:rsidR="0027399F" w:rsidRPr="0027399F" w:rsidRDefault="0027399F" w:rsidP="0027399F">
      <w:pPr>
        <w:widowControl/>
        <w:pBdr>
          <w:top w:val="nil"/>
          <w:left w:val="nil"/>
          <w:bottom w:val="nil"/>
          <w:right w:val="nil"/>
          <w:between w:val="nil"/>
        </w:pBdr>
        <w:spacing w:before="120" w:line="240" w:lineRule="auto"/>
        <w:ind w:hanging="2"/>
        <w:rPr>
          <w:rFonts w:eastAsia="Arial" w:cstheme="minorHAnsi"/>
          <w:b/>
          <w:bCs/>
          <w:smallCaps/>
          <w:color w:val="000000" w:themeColor="text1"/>
        </w:rPr>
      </w:pPr>
      <w:r w:rsidRPr="0027399F">
        <w:rPr>
          <w:rFonts w:eastAsia="Arial" w:cstheme="minorHAnsi"/>
          <w:b/>
          <w:bCs/>
          <w:smallCaps/>
          <w:color w:val="000000" w:themeColor="text1"/>
        </w:rPr>
        <w:t>MULTIASSAYEXPERIMENT (MAE)</w:t>
      </w:r>
    </w:p>
    <w:p w14:paraId="549B802C" w14:textId="77777777" w:rsidR="0027399F" w:rsidRPr="0027399F" w:rsidRDefault="0027399F" w:rsidP="0027399F">
      <w:pPr>
        <w:pBdr>
          <w:top w:val="nil"/>
          <w:left w:val="nil"/>
          <w:bottom w:val="nil"/>
          <w:right w:val="nil"/>
          <w:between w:val="nil"/>
        </w:pBdr>
        <w:spacing w:before="20" w:line="240" w:lineRule="auto"/>
        <w:ind w:hanging="2"/>
        <w:jc w:val="both"/>
        <w:rPr>
          <w:rFonts w:eastAsia="Arial" w:cstheme="minorHAnsi"/>
          <w:color w:val="000000" w:themeColor="text1"/>
        </w:rPr>
      </w:pPr>
      <w:r w:rsidRPr="0027399F">
        <w:rPr>
          <w:rFonts w:eastAsia="Arial" w:cstheme="minorHAnsi"/>
          <w:color w:val="000000" w:themeColor="text1"/>
        </w:rPr>
        <w:t xml:space="preserve">In addition to the metadata captured in a BCO, other specific tools might be considered for the integration of omics data with clinical and nonclinical data. One of these potential solutions is the </w:t>
      </w:r>
      <w:proofErr w:type="spellStart"/>
      <w:r w:rsidRPr="0027399F">
        <w:rPr>
          <w:rFonts w:eastAsia="Arial" w:cstheme="minorHAnsi"/>
          <w:b/>
          <w:bCs/>
          <w:color w:val="000000" w:themeColor="text1"/>
        </w:rPr>
        <w:t>MultiAssayExperiment</w:t>
      </w:r>
      <w:proofErr w:type="spellEnd"/>
      <w:r w:rsidRPr="0027399F">
        <w:rPr>
          <w:rFonts w:eastAsia="Arial" w:cstheme="minorHAnsi"/>
          <w:b/>
          <w:bCs/>
          <w:color w:val="000000" w:themeColor="text1"/>
        </w:rPr>
        <w:t xml:space="preserve"> (MAE)</w:t>
      </w:r>
      <w:r w:rsidRPr="0027399F">
        <w:rPr>
          <w:rFonts w:eastAsia="Arial" w:cstheme="minorHAnsi"/>
          <w:color w:val="000000" w:themeColor="text1"/>
        </w:rPr>
        <w:t xml:space="preserve"> R package. MAE utilizes Bioconductor [</w:t>
      </w:r>
      <w:hyperlink r:id="rId40" w:history="1">
        <w:r w:rsidRPr="0027399F">
          <w:rPr>
            <w:rStyle w:val="Hyperlink"/>
            <w:rFonts w:cstheme="minorHAnsi"/>
          </w:rPr>
          <w:t>Ref 27</w:t>
        </w:r>
      </w:hyperlink>
      <w:r w:rsidRPr="0027399F">
        <w:rPr>
          <w:rFonts w:cstheme="minorHAnsi"/>
        </w:rPr>
        <w:t xml:space="preserve">] </w:t>
      </w:r>
      <w:r w:rsidRPr="0027399F">
        <w:rPr>
          <w:rFonts w:eastAsia="Arial" w:cstheme="minorHAnsi"/>
          <w:color w:val="000000" w:themeColor="text1"/>
        </w:rPr>
        <w:t xml:space="preserve">software and framework to represent, integrate, manage, analyze, and visualize </w:t>
      </w:r>
      <w:proofErr w:type="spellStart"/>
      <w:r w:rsidRPr="0027399F">
        <w:rPr>
          <w:rFonts w:eastAsia="Arial" w:cstheme="minorHAnsi"/>
          <w:color w:val="000000" w:themeColor="text1"/>
        </w:rPr>
        <w:t>multiomics</w:t>
      </w:r>
      <w:proofErr w:type="spellEnd"/>
      <w:r w:rsidRPr="0027399F">
        <w:rPr>
          <w:rFonts w:eastAsia="Arial" w:cstheme="minorHAnsi"/>
          <w:color w:val="000000" w:themeColor="text1"/>
        </w:rPr>
        <w:t xml:space="preserve"> data</w:t>
      </w:r>
      <w:r w:rsidRPr="0027399F">
        <w:rPr>
          <w:rFonts w:eastAsia="Arial" w:cstheme="minorHAnsi"/>
          <w:color w:val="000000" w:themeColor="text1"/>
          <w:lang w:val="en-GB"/>
        </w:rPr>
        <w:t xml:space="preserve"> [</w:t>
      </w:r>
      <w:hyperlink r:id="rId41" w:history="1">
        <w:r w:rsidRPr="0027399F">
          <w:rPr>
            <w:rStyle w:val="Hyperlink"/>
            <w:rFonts w:cstheme="minorHAnsi"/>
          </w:rPr>
          <w:t>Ref 28</w:t>
        </w:r>
      </w:hyperlink>
      <w:r w:rsidRPr="0027399F">
        <w:rPr>
          <w:rFonts w:cstheme="minorHAnsi"/>
        </w:rPr>
        <w:t>]</w:t>
      </w:r>
      <w:r w:rsidRPr="0027399F">
        <w:rPr>
          <w:rFonts w:eastAsia="Arial" w:cstheme="minorHAnsi"/>
          <w:color w:val="000000" w:themeColor="text1"/>
        </w:rPr>
        <w:t>. It provides a robust infrastructure for managing and harmonizing multiple assays performed on overlapping sets of biological specimens. This capability is essential for biomarker-driven research, where diverse omics data types must be combined with clinical and phenotypic information. MAE</w:t>
      </w:r>
      <w:r w:rsidRPr="0027399F">
        <w:rPr>
          <w:rFonts w:eastAsia="Arial" w:cstheme="minorHAnsi"/>
          <w:color w:val="000000" w:themeColor="text1"/>
          <w:lang w:val="en-GB"/>
        </w:rPr>
        <w:t xml:space="preserve"> not only facilitates the integration of </w:t>
      </w:r>
      <w:proofErr w:type="spellStart"/>
      <w:r w:rsidRPr="0027399F">
        <w:rPr>
          <w:rFonts w:eastAsia="Arial" w:cstheme="minorHAnsi"/>
          <w:b/>
          <w:bCs/>
          <w:color w:val="000000" w:themeColor="text1"/>
          <w:lang w:val="en-GB"/>
        </w:rPr>
        <w:t>multiomics</w:t>
      </w:r>
      <w:proofErr w:type="spellEnd"/>
      <w:r w:rsidRPr="0027399F">
        <w:rPr>
          <w:rFonts w:eastAsia="Arial" w:cstheme="minorHAnsi"/>
          <w:color w:val="000000" w:themeColor="text1"/>
          <w:lang w:val="en-GB"/>
        </w:rPr>
        <w:t xml:space="preserve"> data with other </w:t>
      </w:r>
      <w:r w:rsidRPr="0027399F">
        <w:rPr>
          <w:rFonts w:eastAsia="Arial" w:cstheme="minorHAnsi"/>
          <w:b/>
          <w:bCs/>
          <w:color w:val="000000" w:themeColor="text1"/>
          <w:lang w:val="en-GB"/>
        </w:rPr>
        <w:t xml:space="preserve">clinical </w:t>
      </w:r>
      <w:r w:rsidRPr="0027399F">
        <w:rPr>
          <w:rFonts w:eastAsia="Arial" w:cstheme="minorHAnsi"/>
          <w:color w:val="000000" w:themeColor="text1"/>
          <w:lang w:val="en-GB"/>
        </w:rPr>
        <w:t xml:space="preserve">and </w:t>
      </w:r>
      <w:r w:rsidRPr="0027399F">
        <w:rPr>
          <w:rFonts w:eastAsia="Arial" w:cstheme="minorHAnsi"/>
          <w:b/>
          <w:bCs/>
          <w:color w:val="000000" w:themeColor="text1"/>
          <w:lang w:val="en-GB"/>
        </w:rPr>
        <w:t>non-clinical</w:t>
      </w:r>
      <w:r w:rsidRPr="0027399F">
        <w:rPr>
          <w:rFonts w:eastAsia="Arial" w:cstheme="minorHAnsi"/>
          <w:color w:val="000000" w:themeColor="text1"/>
          <w:lang w:val="en-GB"/>
        </w:rPr>
        <w:t xml:space="preserve"> data, it also does so while overcoming the challenges of </w:t>
      </w:r>
      <w:r w:rsidRPr="0027399F">
        <w:rPr>
          <w:rFonts w:eastAsia="Arial" w:cstheme="minorHAnsi"/>
          <w:b/>
          <w:bCs/>
          <w:color w:val="000000" w:themeColor="text1"/>
          <w:lang w:val="en-GB"/>
        </w:rPr>
        <w:t>heterogeneity</w:t>
      </w:r>
      <w:r w:rsidRPr="0027399F">
        <w:rPr>
          <w:rFonts w:eastAsia="Arial" w:cstheme="minorHAnsi"/>
          <w:color w:val="000000" w:themeColor="text1"/>
          <w:lang w:val="en-GB"/>
        </w:rPr>
        <w:t>, managing</w:t>
      </w:r>
      <w:r w:rsidRPr="0027399F">
        <w:rPr>
          <w:rFonts w:eastAsia="Arial" w:cstheme="minorHAnsi"/>
          <w:b/>
          <w:bCs/>
          <w:color w:val="000000" w:themeColor="text1"/>
          <w:lang w:val="en-GB"/>
        </w:rPr>
        <w:t xml:space="preserve"> large-scale data</w:t>
      </w:r>
      <w:r w:rsidRPr="0027399F">
        <w:rPr>
          <w:rFonts w:eastAsia="Arial" w:cstheme="minorHAnsi"/>
          <w:color w:val="000000" w:themeColor="text1"/>
          <w:lang w:val="en-GB"/>
        </w:rPr>
        <w:t xml:space="preserve"> </w:t>
      </w:r>
      <w:r w:rsidRPr="0027399F">
        <w:rPr>
          <w:rFonts w:eastAsia="Arial" w:cstheme="minorHAnsi"/>
          <w:b/>
          <w:bCs/>
          <w:color w:val="000000" w:themeColor="text1"/>
          <w:lang w:val="en-GB"/>
        </w:rPr>
        <w:t>storage</w:t>
      </w:r>
      <w:r w:rsidRPr="0027399F">
        <w:rPr>
          <w:rFonts w:eastAsia="Arial" w:cstheme="minorHAnsi"/>
          <w:color w:val="000000" w:themeColor="text1"/>
          <w:lang w:val="en-GB"/>
        </w:rPr>
        <w:t xml:space="preserve">, the complexity of </w:t>
      </w:r>
      <w:r w:rsidRPr="0027399F">
        <w:rPr>
          <w:rFonts w:eastAsia="Arial" w:cstheme="minorHAnsi"/>
          <w:b/>
          <w:bCs/>
          <w:color w:val="000000" w:themeColor="text1"/>
          <w:lang w:val="en-GB"/>
        </w:rPr>
        <w:t>downstream</w:t>
      </w:r>
      <w:r w:rsidRPr="0027399F">
        <w:rPr>
          <w:rFonts w:eastAsia="Arial" w:cstheme="minorHAnsi"/>
          <w:color w:val="000000" w:themeColor="text1"/>
          <w:lang w:val="en-GB"/>
        </w:rPr>
        <w:t xml:space="preserve"> </w:t>
      </w:r>
      <w:r w:rsidRPr="0027399F">
        <w:rPr>
          <w:rFonts w:eastAsia="Arial" w:cstheme="minorHAnsi"/>
          <w:b/>
          <w:bCs/>
          <w:color w:val="000000" w:themeColor="text1"/>
          <w:lang w:val="en-GB"/>
        </w:rPr>
        <w:t>bioinformatics analysis</w:t>
      </w:r>
      <w:r w:rsidRPr="0027399F">
        <w:rPr>
          <w:rFonts w:eastAsia="Arial" w:cstheme="minorHAnsi"/>
          <w:color w:val="000000" w:themeColor="text1"/>
          <w:lang w:val="en-GB"/>
        </w:rPr>
        <w:t xml:space="preserve">, and ensuring </w:t>
      </w:r>
      <w:r w:rsidRPr="0027399F">
        <w:rPr>
          <w:rFonts w:eastAsia="Arial" w:cstheme="minorHAnsi"/>
          <w:b/>
          <w:bCs/>
          <w:color w:val="000000" w:themeColor="text1"/>
          <w:lang w:val="en-GB"/>
        </w:rPr>
        <w:t>reproducibility</w:t>
      </w:r>
      <w:r w:rsidRPr="0027399F">
        <w:rPr>
          <w:rFonts w:eastAsia="Arial" w:cstheme="minorHAnsi"/>
          <w:color w:val="000000" w:themeColor="text1"/>
          <w:lang w:val="en-GB"/>
        </w:rPr>
        <w:t>.</w:t>
      </w:r>
    </w:p>
    <w:p w14:paraId="11CD63FB" w14:textId="77777777" w:rsidR="0027399F" w:rsidRPr="0027399F" w:rsidRDefault="0027399F" w:rsidP="00FF3FFD">
      <w:pPr>
        <w:pBdr>
          <w:top w:val="nil"/>
          <w:left w:val="nil"/>
          <w:bottom w:val="nil"/>
          <w:right w:val="nil"/>
          <w:between w:val="nil"/>
        </w:pBdr>
        <w:spacing w:before="20" w:line="240" w:lineRule="auto"/>
        <w:jc w:val="both"/>
        <w:rPr>
          <w:rFonts w:eastAsia="Arial" w:cstheme="minorHAnsi"/>
          <w:color w:val="000000" w:themeColor="text1"/>
        </w:rPr>
      </w:pPr>
      <w:r w:rsidRPr="0027399F">
        <w:rPr>
          <w:rFonts w:eastAsia="Arial" w:cstheme="minorHAnsi"/>
          <w:color w:val="000000" w:themeColor="text1"/>
        </w:rPr>
        <w:t xml:space="preserve">MAE can ingest heterogeneous omics data like genomics, transcriptomics, and proteomics data for a set of specimens. The data to be ingested by MAE can be stored in memory, on disk, or remotely in the case of very large datasets, thus solving the problem of large-scale data storage, which is one of the most </w:t>
      </w:r>
      <w:r w:rsidRPr="0027399F">
        <w:rPr>
          <w:rFonts w:eastAsia="Arial" w:cstheme="minorHAnsi"/>
          <w:color w:val="000000" w:themeColor="text1"/>
        </w:rPr>
        <w:lastRenderedPageBreak/>
        <w:t xml:space="preserve">common problems associated with the management of data generated by omics assays. </w:t>
      </w:r>
    </w:p>
    <w:p w14:paraId="6D453476" w14:textId="1FAB1DCC" w:rsidR="0027399F" w:rsidRPr="0027399F" w:rsidRDefault="0027399F" w:rsidP="00FF3FFD">
      <w:pPr>
        <w:pBdr>
          <w:top w:val="nil"/>
          <w:left w:val="nil"/>
          <w:bottom w:val="nil"/>
          <w:right w:val="nil"/>
          <w:between w:val="nil"/>
        </w:pBdr>
        <w:spacing w:before="20" w:line="240" w:lineRule="auto"/>
        <w:ind w:hanging="2"/>
        <w:jc w:val="both"/>
        <w:rPr>
          <w:rFonts w:eastAsia="Arial" w:cstheme="minorHAnsi"/>
          <w:color w:val="000000" w:themeColor="text1"/>
        </w:rPr>
      </w:pPr>
      <w:r w:rsidRPr="0027399F">
        <w:rPr>
          <w:rFonts w:eastAsia="Arial" w:cstheme="minorHAnsi"/>
          <w:color w:val="000000" w:themeColor="text1"/>
        </w:rPr>
        <w:t xml:space="preserve">MAE accomplishes the task of representing, managing, and integrating </w:t>
      </w:r>
      <w:proofErr w:type="spellStart"/>
      <w:r w:rsidRPr="0027399F">
        <w:rPr>
          <w:rFonts w:eastAsia="Arial" w:cstheme="minorHAnsi"/>
          <w:color w:val="000000" w:themeColor="text1"/>
        </w:rPr>
        <w:t>multiomics</w:t>
      </w:r>
      <w:proofErr w:type="spellEnd"/>
      <w:r w:rsidRPr="0027399F">
        <w:rPr>
          <w:rFonts w:eastAsia="Arial" w:cstheme="minorHAnsi"/>
          <w:color w:val="000000" w:themeColor="text1"/>
        </w:rPr>
        <w:t xml:space="preserve"> data by introducing a Bioconductor object-oriented S4 data class, which has three key components:</w:t>
      </w:r>
    </w:p>
    <w:p w14:paraId="12FA8549" w14:textId="77777777" w:rsidR="0027399F" w:rsidRPr="0027399F" w:rsidRDefault="0027399F" w:rsidP="0027399F">
      <w:pPr>
        <w:pStyle w:val="ListParagraph"/>
        <w:numPr>
          <w:ilvl w:val="0"/>
          <w:numId w:val="5"/>
        </w:numPr>
        <w:pBdr>
          <w:top w:val="nil"/>
          <w:left w:val="nil"/>
          <w:bottom w:val="nil"/>
          <w:right w:val="nil"/>
          <w:between w:val="nil"/>
        </w:pBdr>
        <w:suppressAutoHyphens/>
        <w:spacing w:before="20" w:after="0" w:line="240" w:lineRule="auto"/>
        <w:jc w:val="both"/>
        <w:textDirection w:val="btLr"/>
        <w:textAlignment w:val="top"/>
        <w:outlineLvl w:val="0"/>
        <w:rPr>
          <w:rFonts w:eastAsia="Arial" w:cstheme="minorHAnsi"/>
          <w:color w:val="000000" w:themeColor="text1"/>
        </w:rPr>
      </w:pPr>
      <w:proofErr w:type="spellStart"/>
      <w:r w:rsidRPr="0027399F">
        <w:rPr>
          <w:rFonts w:eastAsia="Arial" w:cstheme="minorHAnsi"/>
          <w:b/>
          <w:bCs/>
          <w:color w:val="000000" w:themeColor="text1"/>
        </w:rPr>
        <w:t>colData</w:t>
      </w:r>
      <w:proofErr w:type="spellEnd"/>
      <w:r w:rsidRPr="0027399F">
        <w:rPr>
          <w:rFonts w:eastAsia="Arial" w:cstheme="minorHAnsi"/>
          <w:color w:val="000000" w:themeColor="text1"/>
        </w:rPr>
        <w:t>, a data frame containing patient, cell-line, or other biological unit related data (i.e., clinical or non-clinical data) with rows for each unit and columns for each characteristic variable (histological, pathological, demographic, etc.)</w:t>
      </w:r>
    </w:p>
    <w:p w14:paraId="2FD80315" w14:textId="77777777" w:rsidR="0027399F" w:rsidRPr="0027399F" w:rsidRDefault="0027399F" w:rsidP="0027399F">
      <w:pPr>
        <w:pStyle w:val="ListParagraph"/>
        <w:numPr>
          <w:ilvl w:val="0"/>
          <w:numId w:val="5"/>
        </w:numPr>
        <w:pBdr>
          <w:top w:val="nil"/>
          <w:left w:val="nil"/>
          <w:bottom w:val="nil"/>
          <w:right w:val="nil"/>
          <w:between w:val="nil"/>
        </w:pBdr>
        <w:suppressAutoHyphens/>
        <w:spacing w:before="20" w:after="0" w:line="240" w:lineRule="auto"/>
        <w:jc w:val="both"/>
        <w:textDirection w:val="btLr"/>
        <w:textAlignment w:val="top"/>
        <w:outlineLvl w:val="0"/>
        <w:rPr>
          <w:rFonts w:eastAsia="Arial" w:cstheme="minorHAnsi"/>
          <w:color w:val="000000" w:themeColor="text1"/>
        </w:rPr>
      </w:pPr>
      <w:proofErr w:type="spellStart"/>
      <w:r w:rsidRPr="0027399F">
        <w:rPr>
          <w:rFonts w:eastAsia="Arial" w:cstheme="minorHAnsi"/>
          <w:b/>
          <w:bCs/>
          <w:color w:val="000000" w:themeColor="text1"/>
        </w:rPr>
        <w:t>ExperimentList</w:t>
      </w:r>
      <w:proofErr w:type="spellEnd"/>
      <w:r w:rsidRPr="0027399F">
        <w:rPr>
          <w:rFonts w:eastAsia="Arial" w:cstheme="minorHAnsi"/>
          <w:b/>
          <w:bCs/>
          <w:color w:val="000000" w:themeColor="text1"/>
        </w:rPr>
        <w:t>,</w:t>
      </w:r>
      <w:r w:rsidRPr="0027399F">
        <w:rPr>
          <w:rFonts w:eastAsia="Arial" w:cstheme="minorHAnsi"/>
          <w:color w:val="000000" w:themeColor="text1"/>
        </w:rPr>
        <w:t xml:space="preserve"> a list of assays, where each list element or assay is a dataset, with rows for variables like genes or genomic ranges and columns for assay results. The elements of a list do not have to have the same number of rows and columns, allowing for replicates, time series data, or missing assays</w:t>
      </w:r>
    </w:p>
    <w:p w14:paraId="0CFB1400" w14:textId="77777777" w:rsidR="0027399F" w:rsidRPr="0027399F" w:rsidRDefault="0027399F" w:rsidP="0027399F">
      <w:pPr>
        <w:pStyle w:val="ListParagraph"/>
        <w:numPr>
          <w:ilvl w:val="0"/>
          <w:numId w:val="5"/>
        </w:numPr>
        <w:pBdr>
          <w:top w:val="nil"/>
          <w:left w:val="nil"/>
          <w:bottom w:val="nil"/>
          <w:right w:val="nil"/>
          <w:between w:val="nil"/>
        </w:pBdr>
        <w:suppressAutoHyphens/>
        <w:spacing w:before="20" w:after="0" w:line="240" w:lineRule="auto"/>
        <w:jc w:val="both"/>
        <w:textDirection w:val="btLr"/>
        <w:textAlignment w:val="top"/>
        <w:outlineLvl w:val="0"/>
        <w:rPr>
          <w:rFonts w:eastAsia="Arial" w:cstheme="minorHAnsi"/>
          <w:color w:val="000000" w:themeColor="text1"/>
        </w:rPr>
      </w:pPr>
      <w:proofErr w:type="spellStart"/>
      <w:r w:rsidRPr="0027399F">
        <w:rPr>
          <w:rFonts w:eastAsia="Arial" w:cstheme="minorHAnsi"/>
          <w:b/>
          <w:bCs/>
          <w:color w:val="000000" w:themeColor="text1"/>
        </w:rPr>
        <w:t>sampleMap</w:t>
      </w:r>
      <w:proofErr w:type="spellEnd"/>
      <w:r w:rsidRPr="0027399F">
        <w:rPr>
          <w:rFonts w:eastAsia="Arial" w:cstheme="minorHAnsi"/>
          <w:color w:val="000000" w:themeColor="text1"/>
        </w:rPr>
        <w:t xml:space="preserve">, a data frame containing a column for assay names, a column for identifiers of biological units, and a column for identifiers of assay results. </w:t>
      </w:r>
      <w:proofErr w:type="spellStart"/>
      <w:r w:rsidRPr="0027399F">
        <w:rPr>
          <w:rFonts w:eastAsia="Arial" w:cstheme="minorHAnsi"/>
          <w:color w:val="000000" w:themeColor="text1"/>
        </w:rPr>
        <w:t>sampleMap</w:t>
      </w:r>
      <w:proofErr w:type="spellEnd"/>
      <w:r w:rsidRPr="0027399F">
        <w:rPr>
          <w:rFonts w:eastAsia="Arial" w:cstheme="minorHAnsi"/>
          <w:color w:val="000000" w:themeColor="text1"/>
        </w:rPr>
        <w:t xml:space="preserve"> relates each column in </w:t>
      </w:r>
      <w:proofErr w:type="spellStart"/>
      <w:r w:rsidRPr="0027399F">
        <w:rPr>
          <w:rFonts w:eastAsia="Arial" w:cstheme="minorHAnsi"/>
          <w:color w:val="000000" w:themeColor="text1"/>
        </w:rPr>
        <w:t>ExperimentList</w:t>
      </w:r>
      <w:proofErr w:type="spellEnd"/>
      <w:r w:rsidRPr="0027399F">
        <w:rPr>
          <w:rFonts w:eastAsia="Arial" w:cstheme="minorHAnsi"/>
          <w:color w:val="000000" w:themeColor="text1"/>
        </w:rPr>
        <w:t xml:space="preserve"> to exactly one row in </w:t>
      </w:r>
      <w:proofErr w:type="spellStart"/>
      <w:r w:rsidRPr="0027399F">
        <w:rPr>
          <w:rFonts w:eastAsia="Arial" w:cstheme="minorHAnsi"/>
          <w:color w:val="000000" w:themeColor="text1"/>
        </w:rPr>
        <w:t>colData</w:t>
      </w:r>
      <w:proofErr w:type="spellEnd"/>
      <w:r w:rsidRPr="0027399F">
        <w:rPr>
          <w:rFonts w:eastAsia="Arial" w:cstheme="minorHAnsi"/>
          <w:color w:val="000000" w:themeColor="text1"/>
        </w:rPr>
        <w:t xml:space="preserve">; however, one row of </w:t>
      </w:r>
      <w:proofErr w:type="spellStart"/>
      <w:r w:rsidRPr="0027399F">
        <w:rPr>
          <w:rFonts w:eastAsia="Arial" w:cstheme="minorHAnsi"/>
          <w:color w:val="000000" w:themeColor="text1"/>
        </w:rPr>
        <w:t>colData</w:t>
      </w:r>
      <w:proofErr w:type="spellEnd"/>
      <w:r w:rsidRPr="0027399F">
        <w:rPr>
          <w:rFonts w:eastAsia="Arial" w:cstheme="minorHAnsi"/>
          <w:color w:val="000000" w:themeColor="text1"/>
        </w:rPr>
        <w:t xml:space="preserve"> may map to one column per assay or, in cases of missing assays or replicates, to zero or multiple columns per assay. The </w:t>
      </w:r>
      <w:proofErr w:type="spellStart"/>
      <w:r w:rsidRPr="0027399F">
        <w:rPr>
          <w:rFonts w:eastAsia="Arial" w:cstheme="minorHAnsi"/>
          <w:color w:val="000000" w:themeColor="text1"/>
        </w:rPr>
        <w:t>sampleMap</w:t>
      </w:r>
      <w:proofErr w:type="spellEnd"/>
      <w:r w:rsidRPr="0027399F">
        <w:rPr>
          <w:rFonts w:eastAsia="Arial" w:cstheme="minorHAnsi"/>
          <w:color w:val="000000" w:themeColor="text1"/>
        </w:rPr>
        <w:t xml:space="preserve"> thus elegantly represents the integration and alignment of each biological unit with the assays related to it.</w:t>
      </w:r>
    </w:p>
    <w:p w14:paraId="173AEF89" w14:textId="77777777" w:rsidR="0027399F" w:rsidRPr="0027399F" w:rsidRDefault="0027399F" w:rsidP="0027399F">
      <w:pPr>
        <w:pBdr>
          <w:top w:val="nil"/>
          <w:left w:val="nil"/>
          <w:bottom w:val="nil"/>
          <w:right w:val="nil"/>
          <w:between w:val="nil"/>
        </w:pBdr>
        <w:spacing w:before="20" w:line="240" w:lineRule="auto"/>
        <w:ind w:hanging="2"/>
        <w:rPr>
          <w:rFonts w:eastAsia="Arial" w:cstheme="minorHAnsi"/>
          <w:color w:val="000000" w:themeColor="text1"/>
        </w:rPr>
      </w:pPr>
    </w:p>
    <w:p w14:paraId="4B0422B3" w14:textId="77777777" w:rsidR="0027399F" w:rsidRPr="0027399F" w:rsidRDefault="0027399F" w:rsidP="0027399F">
      <w:pPr>
        <w:keepNext/>
        <w:pBdr>
          <w:top w:val="nil"/>
          <w:left w:val="nil"/>
          <w:bottom w:val="nil"/>
          <w:right w:val="nil"/>
          <w:between w:val="nil"/>
        </w:pBdr>
        <w:spacing w:before="20" w:line="240" w:lineRule="auto"/>
        <w:ind w:hanging="2"/>
        <w:rPr>
          <w:rFonts w:cstheme="minorHAnsi"/>
        </w:rPr>
      </w:pPr>
      <w:r w:rsidRPr="0027399F">
        <w:rPr>
          <w:rFonts w:cstheme="minorHAnsi"/>
          <w:noProof/>
        </w:rPr>
        <w:drawing>
          <wp:inline distT="0" distB="0" distL="0" distR="0" wp14:anchorId="6D519711" wp14:editId="4A61B57C">
            <wp:extent cx="5943600" cy="2181225"/>
            <wp:effectExtent l="0" t="0" r="0" b="0"/>
            <wp:docPr id="1137891872"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891872" name="drawing" descr="A screenshot of a computer&#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5943600" cy="2181225"/>
                    </a:xfrm>
                    <a:prstGeom prst="rect">
                      <a:avLst/>
                    </a:prstGeom>
                  </pic:spPr>
                </pic:pic>
              </a:graphicData>
            </a:graphic>
          </wp:inline>
        </w:drawing>
      </w:r>
    </w:p>
    <w:p w14:paraId="78B41540" w14:textId="77777777" w:rsidR="0027399F" w:rsidRPr="0027399F" w:rsidRDefault="0027399F" w:rsidP="0027399F">
      <w:pPr>
        <w:pStyle w:val="Caption"/>
        <w:ind w:left="0" w:hanging="2"/>
        <w:rPr>
          <w:rFonts w:asciiTheme="minorHAnsi" w:hAnsiTheme="minorHAnsi" w:cstheme="minorHAnsi"/>
          <w:sz w:val="22"/>
          <w:szCs w:val="22"/>
        </w:rPr>
      </w:pPr>
      <w:r w:rsidRPr="0027399F">
        <w:rPr>
          <w:rFonts w:asciiTheme="minorHAnsi" w:hAnsiTheme="minorHAnsi" w:cstheme="minorHAnsi"/>
          <w:sz w:val="22"/>
          <w:szCs w:val="22"/>
        </w:rPr>
        <w:t xml:space="preserve">Figure </w:t>
      </w:r>
      <w:r w:rsidRPr="0027399F">
        <w:rPr>
          <w:rFonts w:asciiTheme="minorHAnsi" w:hAnsiTheme="minorHAnsi" w:cstheme="minorHAnsi"/>
          <w:sz w:val="22"/>
          <w:szCs w:val="22"/>
        </w:rPr>
        <w:fldChar w:fldCharType="begin"/>
      </w:r>
      <w:r w:rsidRPr="0027399F">
        <w:rPr>
          <w:rFonts w:asciiTheme="minorHAnsi" w:hAnsiTheme="minorHAnsi" w:cstheme="minorHAnsi"/>
          <w:sz w:val="22"/>
          <w:szCs w:val="22"/>
        </w:rPr>
        <w:instrText xml:space="preserve"> SEQ Figure \* ARABIC </w:instrText>
      </w:r>
      <w:r w:rsidRPr="0027399F">
        <w:rPr>
          <w:rFonts w:asciiTheme="minorHAnsi" w:hAnsiTheme="minorHAnsi" w:cstheme="minorHAnsi"/>
          <w:sz w:val="22"/>
          <w:szCs w:val="22"/>
        </w:rPr>
        <w:fldChar w:fldCharType="separate"/>
      </w:r>
      <w:r w:rsidRPr="0027399F">
        <w:rPr>
          <w:rFonts w:asciiTheme="minorHAnsi" w:hAnsiTheme="minorHAnsi" w:cstheme="minorHAnsi"/>
          <w:noProof/>
          <w:sz w:val="22"/>
          <w:szCs w:val="22"/>
        </w:rPr>
        <w:t>4</w:t>
      </w:r>
      <w:r w:rsidRPr="0027399F">
        <w:rPr>
          <w:rFonts w:asciiTheme="minorHAnsi" w:hAnsiTheme="minorHAnsi" w:cstheme="minorHAnsi"/>
          <w:noProof/>
          <w:sz w:val="22"/>
          <w:szCs w:val="22"/>
        </w:rPr>
        <w:fldChar w:fldCharType="end"/>
      </w:r>
      <w:r w:rsidRPr="0027399F">
        <w:rPr>
          <w:rFonts w:asciiTheme="minorHAnsi" w:hAnsiTheme="minorHAnsi" w:cstheme="minorHAnsi"/>
          <w:sz w:val="22"/>
          <w:szCs w:val="22"/>
        </w:rPr>
        <w:t xml:space="preserve">: Screenshots illustrating </w:t>
      </w:r>
      <w:proofErr w:type="spellStart"/>
      <w:r w:rsidRPr="0027399F">
        <w:rPr>
          <w:rFonts w:asciiTheme="minorHAnsi" w:hAnsiTheme="minorHAnsi" w:cstheme="minorHAnsi"/>
          <w:sz w:val="22"/>
          <w:szCs w:val="22"/>
        </w:rPr>
        <w:t>colData</w:t>
      </w:r>
      <w:proofErr w:type="spellEnd"/>
      <w:r w:rsidRPr="0027399F">
        <w:rPr>
          <w:rFonts w:asciiTheme="minorHAnsi" w:hAnsiTheme="minorHAnsi" w:cstheme="minorHAnsi"/>
          <w:sz w:val="22"/>
          <w:szCs w:val="22"/>
        </w:rPr>
        <w:t xml:space="preserve">, RNASeq2GeneNorm dataset from the </w:t>
      </w:r>
      <w:proofErr w:type="spellStart"/>
      <w:r w:rsidRPr="0027399F">
        <w:rPr>
          <w:rFonts w:asciiTheme="minorHAnsi" w:hAnsiTheme="minorHAnsi" w:cstheme="minorHAnsi"/>
          <w:sz w:val="22"/>
          <w:szCs w:val="22"/>
        </w:rPr>
        <w:t>ExperimentList</w:t>
      </w:r>
      <w:proofErr w:type="spellEnd"/>
      <w:r w:rsidRPr="0027399F">
        <w:rPr>
          <w:rFonts w:asciiTheme="minorHAnsi" w:hAnsiTheme="minorHAnsi" w:cstheme="minorHAnsi"/>
          <w:sz w:val="22"/>
          <w:szCs w:val="22"/>
        </w:rPr>
        <w:t xml:space="preserve">, and </w:t>
      </w:r>
      <w:proofErr w:type="spellStart"/>
      <w:r w:rsidRPr="0027399F">
        <w:rPr>
          <w:rFonts w:asciiTheme="minorHAnsi" w:hAnsiTheme="minorHAnsi" w:cstheme="minorHAnsi"/>
          <w:sz w:val="22"/>
          <w:szCs w:val="22"/>
        </w:rPr>
        <w:t>sampleMap</w:t>
      </w:r>
      <w:proofErr w:type="spellEnd"/>
      <w:r w:rsidRPr="0027399F">
        <w:rPr>
          <w:rFonts w:asciiTheme="minorHAnsi" w:hAnsiTheme="minorHAnsi" w:cstheme="minorHAnsi"/>
          <w:sz w:val="22"/>
          <w:szCs w:val="22"/>
        </w:rPr>
        <w:t xml:space="preserve"> from </w:t>
      </w:r>
      <w:proofErr w:type="spellStart"/>
      <w:r w:rsidRPr="0027399F">
        <w:rPr>
          <w:rFonts w:asciiTheme="minorHAnsi" w:hAnsiTheme="minorHAnsi" w:cstheme="minorHAnsi"/>
          <w:sz w:val="22"/>
          <w:szCs w:val="22"/>
        </w:rPr>
        <w:t>miniACC</w:t>
      </w:r>
      <w:proofErr w:type="spellEnd"/>
      <w:r w:rsidRPr="0027399F">
        <w:rPr>
          <w:rFonts w:asciiTheme="minorHAnsi" w:hAnsiTheme="minorHAnsi" w:cstheme="minorHAnsi"/>
          <w:sz w:val="22"/>
          <w:szCs w:val="22"/>
        </w:rPr>
        <w:t>, an MAE object provided along with the MAE package for demonstration purposes (code provided in the appendix).</w:t>
      </w:r>
    </w:p>
    <w:p w14:paraId="2FA02B7E" w14:textId="77777777" w:rsidR="0027399F" w:rsidRPr="0027399F" w:rsidRDefault="0027399F" w:rsidP="0027399F">
      <w:pPr>
        <w:pBdr>
          <w:top w:val="nil"/>
          <w:left w:val="nil"/>
          <w:bottom w:val="nil"/>
          <w:right w:val="nil"/>
          <w:between w:val="nil"/>
        </w:pBdr>
        <w:spacing w:before="20" w:line="240" w:lineRule="auto"/>
        <w:ind w:hanging="2"/>
        <w:jc w:val="both"/>
        <w:rPr>
          <w:rFonts w:eastAsia="Arial" w:cstheme="minorHAnsi"/>
          <w:color w:val="000000" w:themeColor="text1"/>
        </w:rPr>
      </w:pPr>
      <w:r w:rsidRPr="0027399F">
        <w:rPr>
          <w:rFonts w:eastAsia="Arial" w:cstheme="minorHAnsi"/>
          <w:color w:val="000000" w:themeColor="text1"/>
        </w:rPr>
        <w:t xml:space="preserve">The </w:t>
      </w:r>
      <w:proofErr w:type="spellStart"/>
      <w:r w:rsidRPr="0027399F">
        <w:rPr>
          <w:rFonts w:eastAsia="Arial" w:cstheme="minorHAnsi"/>
          <w:b/>
          <w:bCs/>
          <w:color w:val="000000" w:themeColor="text1"/>
        </w:rPr>
        <w:t>ExperimentList</w:t>
      </w:r>
      <w:proofErr w:type="spellEnd"/>
      <w:r w:rsidRPr="0027399F">
        <w:rPr>
          <w:rFonts w:eastAsia="Arial" w:cstheme="minorHAnsi"/>
          <w:b/>
          <w:bCs/>
          <w:color w:val="000000" w:themeColor="text1"/>
        </w:rPr>
        <w:t xml:space="preserve"> </w:t>
      </w:r>
      <w:r w:rsidRPr="0027399F">
        <w:rPr>
          <w:rFonts w:eastAsia="Arial" w:cstheme="minorHAnsi"/>
          <w:color w:val="000000" w:themeColor="text1"/>
        </w:rPr>
        <w:t xml:space="preserve">alone or in combination with the </w:t>
      </w:r>
      <w:proofErr w:type="spellStart"/>
      <w:r w:rsidRPr="0027399F">
        <w:rPr>
          <w:rFonts w:eastAsia="Arial" w:cstheme="minorHAnsi"/>
          <w:b/>
          <w:bCs/>
          <w:color w:val="000000" w:themeColor="text1"/>
        </w:rPr>
        <w:t>colData</w:t>
      </w:r>
      <w:proofErr w:type="spellEnd"/>
      <w:r w:rsidRPr="0027399F">
        <w:rPr>
          <w:rFonts w:eastAsia="Arial" w:cstheme="minorHAnsi"/>
          <w:b/>
          <w:bCs/>
          <w:color w:val="000000" w:themeColor="text1"/>
        </w:rPr>
        <w:t xml:space="preserve"> </w:t>
      </w:r>
      <w:r w:rsidRPr="0027399F">
        <w:rPr>
          <w:rFonts w:eastAsia="Arial" w:cstheme="minorHAnsi"/>
          <w:color w:val="000000" w:themeColor="text1"/>
        </w:rPr>
        <w:t xml:space="preserve">and </w:t>
      </w:r>
      <w:proofErr w:type="spellStart"/>
      <w:r w:rsidRPr="0027399F">
        <w:rPr>
          <w:rFonts w:eastAsia="Arial" w:cstheme="minorHAnsi"/>
          <w:b/>
          <w:bCs/>
          <w:color w:val="000000" w:themeColor="text1"/>
        </w:rPr>
        <w:t>sampleMap</w:t>
      </w:r>
      <w:proofErr w:type="spellEnd"/>
      <w:r w:rsidRPr="0027399F">
        <w:rPr>
          <w:rFonts w:eastAsia="Arial" w:cstheme="minorHAnsi"/>
          <w:b/>
          <w:bCs/>
          <w:color w:val="000000" w:themeColor="text1"/>
        </w:rPr>
        <w:t xml:space="preserve"> </w:t>
      </w:r>
      <w:r w:rsidRPr="0027399F">
        <w:rPr>
          <w:rFonts w:eastAsia="Arial" w:cstheme="minorHAnsi"/>
          <w:color w:val="000000" w:themeColor="text1"/>
        </w:rPr>
        <w:t xml:space="preserve">components of the data class, along with the optional inclusion of metadata, can be used to create a </w:t>
      </w:r>
      <w:proofErr w:type="spellStart"/>
      <w:r w:rsidRPr="0027399F">
        <w:rPr>
          <w:rFonts w:eastAsia="Arial" w:cstheme="minorHAnsi"/>
          <w:b/>
          <w:bCs/>
          <w:color w:val="000000" w:themeColor="text1"/>
        </w:rPr>
        <w:t>MultiAssayExperiment</w:t>
      </w:r>
      <w:proofErr w:type="spellEnd"/>
      <w:r w:rsidRPr="0027399F">
        <w:rPr>
          <w:rFonts w:eastAsia="Arial" w:cstheme="minorHAnsi"/>
          <w:b/>
          <w:bCs/>
          <w:color w:val="000000" w:themeColor="text1"/>
        </w:rPr>
        <w:t xml:space="preserve"> </w:t>
      </w:r>
      <w:r w:rsidRPr="0027399F">
        <w:rPr>
          <w:rFonts w:eastAsia="Arial" w:cstheme="minorHAnsi"/>
          <w:color w:val="000000" w:themeColor="text1"/>
        </w:rPr>
        <w:t xml:space="preserve">object that stores omics data along with clinical or non-clinical data. The </w:t>
      </w:r>
      <w:proofErr w:type="spellStart"/>
      <w:r w:rsidRPr="0027399F">
        <w:rPr>
          <w:rFonts w:eastAsia="Arial" w:cstheme="minorHAnsi"/>
          <w:b/>
          <w:bCs/>
          <w:color w:val="000000" w:themeColor="text1"/>
        </w:rPr>
        <w:t>MultiAssayExperiment</w:t>
      </w:r>
      <w:proofErr w:type="spellEnd"/>
      <w:r w:rsidRPr="0027399F">
        <w:rPr>
          <w:rFonts w:eastAsia="Arial" w:cstheme="minorHAnsi"/>
          <w:b/>
          <w:bCs/>
          <w:color w:val="000000" w:themeColor="text1"/>
        </w:rPr>
        <w:t xml:space="preserve"> </w:t>
      </w:r>
      <w:r w:rsidRPr="0027399F">
        <w:rPr>
          <w:rFonts w:eastAsia="Arial" w:cstheme="minorHAnsi"/>
          <w:color w:val="000000" w:themeColor="text1"/>
        </w:rPr>
        <w:t xml:space="preserve">object can then be subset, reshaped, or transformed into forms that are compatible with downstream analysis and visualization. </w:t>
      </w:r>
    </w:p>
    <w:p w14:paraId="6144F4DE" w14:textId="6004E167" w:rsidR="0027399F" w:rsidRPr="0027399F" w:rsidRDefault="0027399F" w:rsidP="0027399F">
      <w:pPr>
        <w:pBdr>
          <w:top w:val="nil"/>
          <w:left w:val="nil"/>
          <w:bottom w:val="nil"/>
          <w:right w:val="nil"/>
          <w:between w:val="nil"/>
        </w:pBdr>
        <w:spacing w:before="20" w:line="240" w:lineRule="auto"/>
        <w:ind w:hanging="2"/>
        <w:jc w:val="both"/>
        <w:rPr>
          <w:rFonts w:eastAsia="Arial" w:cstheme="minorHAnsi"/>
          <w:color w:val="000000" w:themeColor="text1"/>
        </w:rPr>
      </w:pPr>
      <w:r w:rsidRPr="0027399F">
        <w:rPr>
          <w:rFonts w:eastAsia="Arial" w:cstheme="minorHAnsi"/>
          <w:color w:val="000000" w:themeColor="text1"/>
          <w:lang w:val="en-GB"/>
        </w:rPr>
        <w:lastRenderedPageBreak/>
        <w:t>Finally, the R script used to design the process above can be shared and replicated by another researcher, thus overcoming the challenge of reproducibility.</w:t>
      </w:r>
    </w:p>
    <w:p w14:paraId="2D72C2CA" w14:textId="77777777" w:rsidR="0027399F" w:rsidRPr="0027399F" w:rsidRDefault="0027399F" w:rsidP="0027399F">
      <w:pPr>
        <w:pBdr>
          <w:top w:val="nil"/>
          <w:left w:val="nil"/>
          <w:bottom w:val="nil"/>
          <w:right w:val="nil"/>
          <w:between w:val="nil"/>
        </w:pBdr>
        <w:spacing w:before="20" w:line="240" w:lineRule="auto"/>
        <w:ind w:hanging="2"/>
        <w:jc w:val="both"/>
        <w:rPr>
          <w:rFonts w:eastAsia="Arial" w:cstheme="minorHAnsi"/>
          <w:color w:val="000000" w:themeColor="text1"/>
        </w:rPr>
      </w:pPr>
      <w:r w:rsidRPr="0027399F">
        <w:rPr>
          <w:rFonts w:eastAsia="Arial" w:cstheme="minorHAnsi"/>
          <w:b/>
          <w:bCs/>
          <w:color w:val="000000" w:themeColor="text1"/>
          <w:lang w:val="en-GB"/>
        </w:rPr>
        <w:t>Key Advantages</w:t>
      </w:r>
    </w:p>
    <w:p w14:paraId="26A78691" w14:textId="77777777" w:rsidR="0027399F" w:rsidRPr="0027399F" w:rsidRDefault="0027399F" w:rsidP="0027399F">
      <w:pPr>
        <w:pStyle w:val="ListParagraph"/>
        <w:numPr>
          <w:ilvl w:val="0"/>
          <w:numId w:val="6"/>
        </w:numPr>
        <w:pBdr>
          <w:top w:val="nil"/>
          <w:left w:val="nil"/>
          <w:bottom w:val="nil"/>
          <w:right w:val="nil"/>
          <w:between w:val="nil"/>
        </w:pBdr>
        <w:suppressAutoHyphens/>
        <w:spacing w:before="20" w:after="0" w:line="240" w:lineRule="auto"/>
        <w:jc w:val="both"/>
        <w:textDirection w:val="btLr"/>
        <w:textAlignment w:val="top"/>
        <w:outlineLvl w:val="0"/>
        <w:rPr>
          <w:rFonts w:eastAsia="Arial" w:cstheme="minorHAnsi"/>
          <w:color w:val="000000" w:themeColor="text1"/>
        </w:rPr>
      </w:pPr>
      <w:proofErr w:type="spellStart"/>
      <w:r w:rsidRPr="0027399F">
        <w:rPr>
          <w:rFonts w:eastAsia="Arial" w:cstheme="minorHAnsi"/>
          <w:b/>
          <w:bCs/>
          <w:color w:val="000000" w:themeColor="text1"/>
        </w:rPr>
        <w:t>Standardisation</w:t>
      </w:r>
      <w:proofErr w:type="spellEnd"/>
      <w:r w:rsidRPr="0027399F">
        <w:rPr>
          <w:rFonts w:eastAsia="Arial" w:cstheme="minorHAnsi"/>
          <w:color w:val="000000" w:themeColor="text1"/>
        </w:rPr>
        <w:t>: MAE enforces a consistent structure for multi-omics datasets, reducing complexity and improving reproducibility.</w:t>
      </w:r>
    </w:p>
    <w:p w14:paraId="03E23196" w14:textId="77777777" w:rsidR="0027399F" w:rsidRPr="0027399F" w:rsidRDefault="0027399F" w:rsidP="0027399F">
      <w:pPr>
        <w:pStyle w:val="ListParagraph"/>
        <w:numPr>
          <w:ilvl w:val="0"/>
          <w:numId w:val="6"/>
        </w:numPr>
        <w:pBdr>
          <w:top w:val="nil"/>
          <w:left w:val="nil"/>
          <w:bottom w:val="nil"/>
          <w:right w:val="nil"/>
          <w:between w:val="nil"/>
        </w:pBdr>
        <w:suppressAutoHyphens/>
        <w:spacing w:before="20" w:after="0" w:line="240" w:lineRule="auto"/>
        <w:jc w:val="both"/>
        <w:textDirection w:val="btLr"/>
        <w:textAlignment w:val="top"/>
        <w:outlineLvl w:val="0"/>
        <w:rPr>
          <w:rFonts w:eastAsia="Arial" w:cstheme="minorHAnsi"/>
          <w:color w:val="000000" w:themeColor="text1"/>
        </w:rPr>
      </w:pPr>
      <w:r w:rsidRPr="0027399F">
        <w:rPr>
          <w:rFonts w:eastAsia="Arial" w:cstheme="minorHAnsi"/>
          <w:b/>
          <w:bCs/>
          <w:color w:val="000000" w:themeColor="text1"/>
          <w:lang w:val="en-GB"/>
        </w:rPr>
        <w:t>Interoperability</w:t>
      </w:r>
      <w:r w:rsidRPr="0027399F">
        <w:rPr>
          <w:rFonts w:eastAsia="Arial" w:cstheme="minorHAnsi"/>
          <w:color w:val="000000" w:themeColor="text1"/>
          <w:lang w:val="en-GB"/>
        </w:rPr>
        <w:t>: Integrates seamlessly with other Bioconductor packages for downstream analysis, including survival modelling and machine learning.</w:t>
      </w:r>
    </w:p>
    <w:p w14:paraId="5634C116" w14:textId="1794F0DB" w:rsidR="00DA5326" w:rsidRPr="0027399F" w:rsidRDefault="0027399F" w:rsidP="0027399F">
      <w:pPr>
        <w:rPr>
          <w:rFonts w:cstheme="minorHAnsi"/>
        </w:rPr>
      </w:pPr>
      <w:r w:rsidRPr="0027399F">
        <w:rPr>
          <w:rFonts w:eastAsia="Arial" w:cstheme="minorHAnsi"/>
          <w:b/>
          <w:bCs/>
          <w:color w:val="000000" w:themeColor="text1"/>
          <w:lang w:val="en-GB"/>
        </w:rPr>
        <w:t>Scalability</w:t>
      </w:r>
      <w:r w:rsidRPr="0027399F">
        <w:rPr>
          <w:rFonts w:eastAsia="Arial" w:cstheme="minorHAnsi"/>
          <w:color w:val="000000" w:themeColor="text1"/>
          <w:lang w:val="en-GB"/>
        </w:rPr>
        <w:t>: Handles large datasets across multiple platforms, making it suitable for clinical development</w:t>
      </w:r>
    </w:p>
    <w:p w14:paraId="40E045D4" w14:textId="00134D2B" w:rsidR="00DA5326" w:rsidRPr="00F71952" w:rsidRDefault="00467F52" w:rsidP="00DA5326">
      <w:pPr>
        <w:pStyle w:val="Heading1"/>
        <w:rPr>
          <w:rFonts w:asciiTheme="minorHAnsi" w:hAnsiTheme="minorHAnsi" w:cstheme="minorHAnsi"/>
        </w:rPr>
      </w:pPr>
      <w:bookmarkStart w:id="6" w:name="_Toc93493879"/>
      <w:r w:rsidRPr="0027399F">
        <w:rPr>
          <w:rFonts w:asciiTheme="minorHAnsi" w:hAnsiTheme="minorHAnsi" w:cstheme="minorHAnsi"/>
        </w:rPr>
        <w:t>7</w:t>
      </w:r>
      <w:r w:rsidR="00303464" w:rsidRPr="0027399F">
        <w:rPr>
          <w:rFonts w:asciiTheme="minorHAnsi" w:hAnsiTheme="minorHAnsi" w:cstheme="minorHAnsi"/>
        </w:rPr>
        <w:t xml:space="preserve">: </w:t>
      </w:r>
      <w:r w:rsidR="0027399F" w:rsidRPr="00F71952">
        <w:rPr>
          <w:rFonts w:asciiTheme="minorHAnsi" w:hAnsiTheme="minorHAnsi" w:cstheme="minorHAnsi"/>
        </w:rPr>
        <w:t>Conclusion</w:t>
      </w:r>
      <w:r w:rsidR="00DA5326" w:rsidRPr="00F71952">
        <w:rPr>
          <w:rFonts w:asciiTheme="minorHAnsi" w:hAnsiTheme="minorHAnsi" w:cstheme="minorHAnsi"/>
        </w:rPr>
        <w:t>:</w:t>
      </w:r>
      <w:bookmarkEnd w:id="6"/>
    </w:p>
    <w:p w14:paraId="7F842895" w14:textId="77777777" w:rsidR="0027399F" w:rsidRPr="00F71952" w:rsidRDefault="0027399F" w:rsidP="0027399F">
      <w:pPr>
        <w:pBdr>
          <w:top w:val="nil"/>
          <w:left w:val="nil"/>
          <w:bottom w:val="nil"/>
          <w:right w:val="nil"/>
          <w:between w:val="nil"/>
        </w:pBdr>
        <w:spacing w:before="20" w:line="240" w:lineRule="auto"/>
        <w:ind w:hanging="2"/>
        <w:rPr>
          <w:rFonts w:eastAsia="Arial" w:cstheme="minorHAnsi"/>
          <w:color w:val="000000" w:themeColor="text1"/>
        </w:rPr>
      </w:pPr>
      <w:r w:rsidRPr="00F71952">
        <w:rPr>
          <w:rFonts w:eastAsia="Arial" w:cstheme="minorHAnsi"/>
          <w:color w:val="000000" w:themeColor="text1"/>
        </w:rPr>
        <w:t>In high dimensional omics data, a data point may be related to many other data elements, some of which may be conditional. Flat, tabular models are not ideal for capturing and representing data in this way. JavaScript Object Notation (JSON) is a better option, because it can represent concepts in nested, hierarchical relationships.</w:t>
      </w:r>
    </w:p>
    <w:p w14:paraId="3EF199D5" w14:textId="046420CF" w:rsidR="0027399F" w:rsidRPr="00F71952" w:rsidRDefault="0027399F" w:rsidP="0027399F">
      <w:pPr>
        <w:pBdr>
          <w:top w:val="nil"/>
          <w:left w:val="nil"/>
          <w:bottom w:val="nil"/>
          <w:right w:val="nil"/>
          <w:between w:val="nil"/>
        </w:pBdr>
        <w:spacing w:before="20" w:line="240" w:lineRule="auto"/>
        <w:ind w:hanging="2"/>
        <w:rPr>
          <w:rFonts w:eastAsia="Arial" w:cstheme="minorHAnsi"/>
          <w:color w:val="000000" w:themeColor="text1"/>
        </w:rPr>
      </w:pPr>
      <w:proofErr w:type="spellStart"/>
      <w:r w:rsidRPr="00F71952">
        <w:rPr>
          <w:rFonts w:eastAsia="Arial" w:cstheme="minorHAnsi"/>
          <w:color w:val="000000" w:themeColor="text1"/>
        </w:rPr>
        <w:t>BioCompute</w:t>
      </w:r>
      <w:proofErr w:type="spellEnd"/>
      <w:r w:rsidRPr="00F71952">
        <w:rPr>
          <w:rFonts w:eastAsia="Arial" w:cstheme="minorHAnsi"/>
          <w:color w:val="000000" w:themeColor="text1"/>
        </w:rPr>
        <w:t xml:space="preserve">, a colloquial name for the IEEE-2791 standard, is a JSON-based standard for describing workflows. </w:t>
      </w:r>
      <w:proofErr w:type="spellStart"/>
      <w:r w:rsidRPr="00F71952">
        <w:rPr>
          <w:rFonts w:eastAsia="Arial" w:cstheme="minorHAnsi"/>
          <w:color w:val="000000" w:themeColor="text1"/>
        </w:rPr>
        <w:t>BioCompute</w:t>
      </w:r>
      <w:proofErr w:type="spellEnd"/>
      <w:r w:rsidRPr="00F71952">
        <w:rPr>
          <w:rFonts w:eastAsia="Arial" w:cstheme="minorHAnsi"/>
          <w:color w:val="000000" w:themeColor="text1"/>
        </w:rPr>
        <w:t xml:space="preserve"> excels at recording data provenance and data harmonization. A </w:t>
      </w:r>
      <w:proofErr w:type="spellStart"/>
      <w:r w:rsidRPr="00F71952">
        <w:rPr>
          <w:rFonts w:eastAsia="Arial" w:cstheme="minorHAnsi"/>
          <w:color w:val="000000" w:themeColor="text1"/>
        </w:rPr>
        <w:t>BioCompute</w:t>
      </w:r>
      <w:proofErr w:type="spellEnd"/>
      <w:r w:rsidRPr="00F71952">
        <w:rPr>
          <w:rFonts w:eastAsia="Arial" w:cstheme="minorHAnsi"/>
          <w:color w:val="000000" w:themeColor="text1"/>
        </w:rPr>
        <w:t xml:space="preserve"> Object (BCO – an instance of a workflow that conforms to the standard) can capture external data resources used in an analysis, including domain-specific identifiers, timestamps, and versions. It can also represent a mapping of concepts between domains for data harmonization.</w:t>
      </w:r>
    </w:p>
    <w:p w14:paraId="10F1FFDF" w14:textId="364807E8" w:rsidR="0027399F" w:rsidRPr="00F71952" w:rsidRDefault="0027399F" w:rsidP="0027399F">
      <w:pPr>
        <w:pBdr>
          <w:top w:val="nil"/>
          <w:left w:val="nil"/>
          <w:bottom w:val="nil"/>
          <w:right w:val="nil"/>
          <w:between w:val="nil"/>
        </w:pBdr>
        <w:spacing w:before="20" w:line="240" w:lineRule="auto"/>
        <w:ind w:hanging="2"/>
        <w:rPr>
          <w:rFonts w:eastAsia="Arial" w:cstheme="minorHAnsi"/>
          <w:color w:val="000000" w:themeColor="text1"/>
        </w:rPr>
      </w:pPr>
      <w:r w:rsidRPr="00F71952">
        <w:rPr>
          <w:rFonts w:eastAsia="Arial" w:cstheme="minorHAnsi"/>
          <w:color w:val="000000" w:themeColor="text1"/>
        </w:rPr>
        <w:t xml:space="preserve">Because of these strengths and because </w:t>
      </w:r>
      <w:proofErr w:type="spellStart"/>
      <w:r w:rsidRPr="00F71952">
        <w:rPr>
          <w:rFonts w:eastAsia="Arial" w:cstheme="minorHAnsi"/>
          <w:color w:val="000000" w:themeColor="text1"/>
        </w:rPr>
        <w:t>BioCompute</w:t>
      </w:r>
      <w:proofErr w:type="spellEnd"/>
      <w:r w:rsidRPr="00F71952">
        <w:rPr>
          <w:rFonts w:eastAsia="Arial" w:cstheme="minorHAnsi"/>
          <w:color w:val="000000" w:themeColor="text1"/>
        </w:rPr>
        <w:t xml:space="preserve"> is used for managing complexity by representing relationships in JSON, a recommended framework for integrating omics data with other clinical and non-clinical data sources is a combination of MAE with </w:t>
      </w:r>
      <w:proofErr w:type="spellStart"/>
      <w:r w:rsidRPr="00F71952">
        <w:rPr>
          <w:rFonts w:eastAsia="Arial" w:cstheme="minorHAnsi"/>
          <w:color w:val="000000" w:themeColor="text1"/>
        </w:rPr>
        <w:t>BioCompute</w:t>
      </w:r>
      <w:proofErr w:type="spellEnd"/>
      <w:r w:rsidRPr="00F71952">
        <w:rPr>
          <w:rFonts w:eastAsia="Arial" w:cstheme="minorHAnsi"/>
          <w:color w:val="000000" w:themeColor="text1"/>
        </w:rPr>
        <w:t>.</w:t>
      </w:r>
      <w:r w:rsidRPr="00F71952">
        <w:rPr>
          <w:rFonts w:eastAsia="Arial" w:cstheme="minorHAnsi"/>
          <w:color w:val="000000" w:themeColor="text1"/>
          <w:lang w:val="en-GB"/>
        </w:rPr>
        <w:t xml:space="preserve"> In this scenario, MAE is used for formal analysis, and a BCO is used to document the workflow, data provenance, and harmonization of data sources.</w:t>
      </w:r>
    </w:p>
    <w:p w14:paraId="6035F08C" w14:textId="03802D40" w:rsidR="00B50665" w:rsidRPr="00F71952" w:rsidRDefault="00B50665" w:rsidP="00B50665">
      <w:pPr>
        <w:pBdr>
          <w:top w:val="nil"/>
          <w:left w:val="nil"/>
          <w:bottom w:val="nil"/>
          <w:right w:val="nil"/>
          <w:between w:val="nil"/>
        </w:pBdr>
        <w:spacing w:before="20" w:line="240" w:lineRule="auto"/>
        <w:ind w:hanging="2"/>
        <w:rPr>
          <w:rFonts w:eastAsia="Arial" w:cstheme="minorHAnsi"/>
          <w:color w:val="000000" w:themeColor="text1"/>
        </w:rPr>
      </w:pPr>
      <w:r w:rsidRPr="00F71952">
        <w:rPr>
          <w:rFonts w:eastAsia="Arial" w:cstheme="minorHAnsi"/>
          <w:color w:val="000000" w:themeColor="text1"/>
          <w:lang w:val="en-GB"/>
        </w:rPr>
        <w:t xml:space="preserve">Depending on the use case, it might be beneficial to explore </w:t>
      </w:r>
      <w:r w:rsidR="00BA40EF" w:rsidRPr="00F71952">
        <w:rPr>
          <w:rFonts w:eastAsia="Arial" w:cstheme="minorHAnsi"/>
          <w:color w:val="000000" w:themeColor="text1"/>
          <w:lang w:val="en-GB"/>
        </w:rPr>
        <w:t xml:space="preserve">the </w:t>
      </w:r>
      <w:r w:rsidRPr="00F71952">
        <w:rPr>
          <w:rFonts w:eastAsia="Arial" w:cstheme="minorHAnsi"/>
          <w:color w:val="000000" w:themeColor="text1"/>
          <w:lang w:val="en-GB"/>
        </w:rPr>
        <w:t>existing CDISC SDTM.GF (Genomic Findings) domain</w:t>
      </w:r>
      <w:r w:rsidRPr="00F71952">
        <w:rPr>
          <w:rFonts w:cstheme="minorHAnsi"/>
        </w:rPr>
        <w:t>.</w:t>
      </w:r>
      <w:r w:rsidRPr="00F71952">
        <w:rPr>
          <w:rFonts w:eastAsia="Arial" w:cstheme="minorHAnsi"/>
          <w:color w:val="000000" w:themeColor="text1"/>
          <w:lang w:val="en-GB"/>
        </w:rPr>
        <w:t xml:space="preserve"> However, </w:t>
      </w:r>
      <w:r w:rsidR="00F6773B" w:rsidRPr="00F71952">
        <w:rPr>
          <w:rFonts w:eastAsia="Arial" w:cstheme="minorHAnsi"/>
          <w:color w:val="000000" w:themeColor="text1"/>
          <w:lang w:val="en-GB"/>
        </w:rPr>
        <w:t xml:space="preserve">due to the tabular format </w:t>
      </w:r>
      <w:r w:rsidRPr="00F71952">
        <w:rPr>
          <w:rFonts w:eastAsia="Arial" w:cstheme="minorHAnsi"/>
          <w:color w:val="000000" w:themeColor="text1"/>
          <w:lang w:val="en-GB"/>
        </w:rPr>
        <w:t>this is of limited utility and</w:t>
      </w:r>
      <w:r w:rsidR="00BA40EF" w:rsidRPr="00F71952">
        <w:rPr>
          <w:rFonts w:eastAsia="Arial" w:cstheme="minorHAnsi"/>
          <w:color w:val="000000" w:themeColor="text1"/>
          <w:lang w:val="en-GB"/>
        </w:rPr>
        <w:t xml:space="preserve"> only represents a</w:t>
      </w:r>
      <w:r w:rsidRPr="00F71952">
        <w:rPr>
          <w:rFonts w:eastAsia="Arial" w:cstheme="minorHAnsi"/>
          <w:color w:val="000000" w:themeColor="text1"/>
          <w:lang w:val="en-GB"/>
        </w:rPr>
        <w:t xml:space="preserve"> short-term solution. The purpose of this whitepaper is to lay the groundwork for a longer-term solution.</w:t>
      </w:r>
    </w:p>
    <w:p w14:paraId="6AC611F4" w14:textId="63E6B14C" w:rsidR="0027399F" w:rsidRPr="008C2696" w:rsidRDefault="0027399F" w:rsidP="0027399F">
      <w:pPr>
        <w:pBdr>
          <w:top w:val="nil"/>
          <w:left w:val="nil"/>
          <w:bottom w:val="nil"/>
          <w:right w:val="nil"/>
          <w:between w:val="nil"/>
        </w:pBdr>
        <w:spacing w:before="20" w:line="240" w:lineRule="auto"/>
        <w:ind w:hanging="2"/>
        <w:rPr>
          <w:rFonts w:eastAsia="Arial" w:cstheme="minorHAnsi"/>
          <w:color w:val="EE0000"/>
        </w:rPr>
      </w:pPr>
      <w:r w:rsidRPr="00F71952">
        <w:rPr>
          <w:rFonts w:eastAsia="Arial" w:cstheme="minorHAnsi"/>
          <w:color w:val="000000" w:themeColor="text1"/>
          <w:lang w:val="en-GB"/>
        </w:rPr>
        <w:t>Another high-level recommendation is to reach out to the relevant Regulatory Authorit</w:t>
      </w:r>
      <w:r w:rsidR="00BA40EF" w:rsidRPr="00F71952">
        <w:rPr>
          <w:rFonts w:eastAsia="Arial" w:cstheme="minorHAnsi"/>
          <w:color w:val="000000" w:themeColor="text1"/>
          <w:lang w:val="en-GB"/>
        </w:rPr>
        <w:t>ies</w:t>
      </w:r>
      <w:r w:rsidRPr="00F71952">
        <w:rPr>
          <w:rFonts w:eastAsia="Arial" w:cstheme="minorHAnsi"/>
          <w:color w:val="000000" w:themeColor="text1"/>
          <w:lang w:val="en-GB"/>
        </w:rPr>
        <w:t xml:space="preserve"> early in the study lifecycle and establish a dialogue. A high-level overview of the tools and workflows used should be in place for such a discussion for which the specifics can be a key part. This can reduce uncertainty on the Sponsor side and give the Agency insight into the challenges faced by the industry and possible ways of overcoming them. </w:t>
      </w:r>
      <w:r w:rsidR="008C2696" w:rsidRPr="00F71952">
        <w:rPr>
          <w:rFonts w:eastAsia="Arial" w:cstheme="minorHAnsi"/>
          <w:color w:val="000000" w:themeColor="text1"/>
          <w:lang w:val="en-GB"/>
        </w:rPr>
        <w:t xml:space="preserve">Activities are already underway working with </w:t>
      </w:r>
      <w:r w:rsidR="00BA40EF" w:rsidRPr="00F71952">
        <w:rPr>
          <w:rFonts w:eastAsia="Arial" w:cstheme="minorHAnsi"/>
          <w:color w:val="000000" w:themeColor="text1"/>
          <w:lang w:val="en-GB"/>
        </w:rPr>
        <w:t>R</w:t>
      </w:r>
      <w:r w:rsidR="008C2696" w:rsidRPr="00F71952">
        <w:rPr>
          <w:rFonts w:eastAsia="Arial" w:cstheme="minorHAnsi"/>
          <w:color w:val="000000" w:themeColor="text1"/>
          <w:lang w:val="en-GB"/>
        </w:rPr>
        <w:t xml:space="preserve">egulatory </w:t>
      </w:r>
      <w:r w:rsidR="00BA40EF" w:rsidRPr="00F71952">
        <w:rPr>
          <w:rFonts w:eastAsia="Arial" w:cstheme="minorHAnsi"/>
          <w:color w:val="000000" w:themeColor="text1"/>
          <w:lang w:val="en-GB"/>
        </w:rPr>
        <w:t>A</w:t>
      </w:r>
      <w:r w:rsidR="008C2696" w:rsidRPr="00F71952">
        <w:rPr>
          <w:rFonts w:eastAsia="Arial" w:cstheme="minorHAnsi"/>
          <w:color w:val="000000" w:themeColor="text1"/>
          <w:lang w:val="en-GB"/>
        </w:rPr>
        <w:t xml:space="preserve">uthorities to solidify the process of using </w:t>
      </w:r>
      <w:proofErr w:type="spellStart"/>
      <w:r w:rsidR="008C2696" w:rsidRPr="00F71952">
        <w:rPr>
          <w:rFonts w:eastAsia="Arial" w:cstheme="minorHAnsi"/>
          <w:color w:val="000000" w:themeColor="text1"/>
          <w:lang w:val="en-GB"/>
        </w:rPr>
        <w:t>BioCompute</w:t>
      </w:r>
      <w:proofErr w:type="spellEnd"/>
      <w:r w:rsidR="008C2696" w:rsidRPr="00F71952">
        <w:rPr>
          <w:rFonts w:eastAsia="Arial" w:cstheme="minorHAnsi"/>
          <w:color w:val="000000" w:themeColor="text1"/>
          <w:lang w:val="en-GB"/>
        </w:rPr>
        <w:t xml:space="preserve"> in a regulatory submission (R</w:t>
      </w:r>
      <w:r w:rsidR="0016461C" w:rsidRPr="00F71952">
        <w:rPr>
          <w:rFonts w:eastAsia="Arial" w:cstheme="minorHAnsi"/>
          <w:color w:val="000000" w:themeColor="text1"/>
          <w:lang w:val="en-GB"/>
        </w:rPr>
        <w:t>ef</w:t>
      </w:r>
      <w:r w:rsidR="008C2696" w:rsidRPr="00F71952">
        <w:rPr>
          <w:rFonts w:eastAsia="Arial" w:cstheme="minorHAnsi"/>
          <w:color w:val="000000" w:themeColor="text1"/>
          <w:lang w:val="en-GB"/>
        </w:rPr>
        <w:t xml:space="preserve">: </w:t>
      </w:r>
      <w:r w:rsidR="0016461C" w:rsidRPr="00F71952">
        <w:rPr>
          <w:rFonts w:eastAsia="Arial" w:cstheme="minorHAnsi"/>
          <w:color w:val="000000" w:themeColor="text1"/>
          <w:lang w:val="en-GB"/>
        </w:rPr>
        <w:t>29</w:t>
      </w:r>
      <w:r w:rsidR="00BA40EF" w:rsidRPr="00F71952">
        <w:rPr>
          <w:rFonts w:eastAsia="Arial" w:cstheme="minorHAnsi"/>
          <w:color w:val="000000" w:themeColor="text1"/>
          <w:lang w:val="en-GB"/>
        </w:rPr>
        <w:t>)</w:t>
      </w:r>
      <w:r w:rsidR="008C2696" w:rsidRPr="00F71952">
        <w:rPr>
          <w:rFonts w:eastAsia="Arial" w:cstheme="minorHAnsi"/>
          <w:color w:val="000000" w:themeColor="text1"/>
          <w:lang w:val="en-GB"/>
        </w:rPr>
        <w:t xml:space="preserve">. </w:t>
      </w:r>
      <w:r w:rsidR="00BA40EF" w:rsidRPr="00F71952">
        <w:rPr>
          <w:rFonts w:eastAsia="Arial" w:cstheme="minorHAnsi"/>
          <w:color w:val="000000" w:themeColor="text1"/>
          <w:lang w:val="en-GB"/>
        </w:rPr>
        <w:t xml:space="preserve">After </w:t>
      </w:r>
      <w:r w:rsidR="00122310" w:rsidRPr="00F71952">
        <w:rPr>
          <w:rFonts w:eastAsia="Arial" w:cstheme="minorHAnsi"/>
          <w:color w:val="000000" w:themeColor="text1"/>
          <w:lang w:val="en-GB"/>
        </w:rPr>
        <w:t xml:space="preserve">more than </w:t>
      </w:r>
      <w:r w:rsidR="00BA40EF" w:rsidRPr="00F71952">
        <w:rPr>
          <w:rFonts w:eastAsia="Arial" w:cstheme="minorHAnsi"/>
          <w:color w:val="000000" w:themeColor="text1"/>
          <w:lang w:val="en-GB"/>
        </w:rPr>
        <w:t>10-years of collaboration, we</w:t>
      </w:r>
      <w:r w:rsidR="008C2696" w:rsidRPr="00F71952">
        <w:rPr>
          <w:rFonts w:eastAsia="Arial" w:cstheme="minorHAnsi"/>
          <w:color w:val="000000" w:themeColor="text1"/>
          <w:lang w:val="en-GB"/>
        </w:rPr>
        <w:t xml:space="preserve"> expect</w:t>
      </w:r>
      <w:r w:rsidR="00BA40EF" w:rsidRPr="00F71952">
        <w:rPr>
          <w:rFonts w:eastAsia="Arial" w:cstheme="minorHAnsi"/>
          <w:color w:val="000000" w:themeColor="text1"/>
          <w:lang w:val="en-GB"/>
        </w:rPr>
        <w:t xml:space="preserve"> work with the </w:t>
      </w:r>
      <w:r w:rsidR="008C2696" w:rsidRPr="00F71952">
        <w:rPr>
          <w:rFonts w:eastAsia="Arial" w:cstheme="minorHAnsi"/>
          <w:color w:val="000000" w:themeColor="text1"/>
          <w:lang w:val="en-GB"/>
        </w:rPr>
        <w:t xml:space="preserve">FDA </w:t>
      </w:r>
      <w:r w:rsidR="00122310" w:rsidRPr="00F71952">
        <w:rPr>
          <w:rFonts w:eastAsia="Arial" w:cstheme="minorHAnsi"/>
          <w:color w:val="000000" w:themeColor="text1"/>
          <w:lang w:val="en-GB"/>
        </w:rPr>
        <w:t>to</w:t>
      </w:r>
      <w:r w:rsidR="00BA40EF" w:rsidRPr="00F71952">
        <w:rPr>
          <w:rFonts w:eastAsia="Arial" w:cstheme="minorHAnsi"/>
          <w:color w:val="000000" w:themeColor="text1"/>
          <w:lang w:val="en-GB"/>
        </w:rPr>
        <w:t xml:space="preserve"> </w:t>
      </w:r>
      <w:r w:rsidR="008C2696" w:rsidRPr="00F71952">
        <w:rPr>
          <w:rFonts w:eastAsia="Arial" w:cstheme="minorHAnsi"/>
          <w:color w:val="000000" w:themeColor="text1"/>
          <w:lang w:val="en-GB"/>
        </w:rPr>
        <w:t>continue to</w:t>
      </w:r>
      <w:r w:rsidR="00BA40EF" w:rsidRPr="00F71952">
        <w:rPr>
          <w:rFonts w:eastAsia="Arial" w:cstheme="minorHAnsi"/>
          <w:color w:val="000000" w:themeColor="text1"/>
          <w:lang w:val="en-GB"/>
        </w:rPr>
        <w:t xml:space="preserve">ward </w:t>
      </w:r>
      <w:r w:rsidR="00122310" w:rsidRPr="00F71952">
        <w:rPr>
          <w:rFonts w:eastAsia="Arial" w:cstheme="minorHAnsi"/>
          <w:color w:val="000000" w:themeColor="text1"/>
          <w:lang w:val="en-GB"/>
        </w:rPr>
        <w:t xml:space="preserve">greater awareness of the </w:t>
      </w:r>
      <w:proofErr w:type="spellStart"/>
      <w:r w:rsidR="00122310" w:rsidRPr="00F71952">
        <w:rPr>
          <w:rFonts w:eastAsia="Arial" w:cstheme="minorHAnsi"/>
          <w:color w:val="000000" w:themeColor="text1"/>
          <w:lang w:val="en-GB"/>
        </w:rPr>
        <w:t>BioCompute</w:t>
      </w:r>
      <w:proofErr w:type="spellEnd"/>
      <w:r w:rsidR="00122310" w:rsidRPr="00F71952">
        <w:rPr>
          <w:rFonts w:eastAsia="Arial" w:cstheme="minorHAnsi"/>
          <w:color w:val="000000" w:themeColor="text1"/>
          <w:lang w:val="en-GB"/>
        </w:rPr>
        <w:t xml:space="preserve"> standard and more usage in regulatory submissions.</w:t>
      </w:r>
      <w:r w:rsidR="00122310">
        <w:rPr>
          <w:rFonts w:eastAsia="Arial" w:cstheme="minorHAnsi"/>
          <w:color w:val="000000" w:themeColor="text1"/>
          <w:lang w:val="en-GB"/>
        </w:rPr>
        <w:t xml:space="preserve"> </w:t>
      </w:r>
    </w:p>
    <w:p w14:paraId="4BABA172" w14:textId="71ABB012" w:rsidR="0027399F" w:rsidRPr="0027399F" w:rsidRDefault="0027399F" w:rsidP="0027399F">
      <w:pPr>
        <w:pBdr>
          <w:top w:val="nil"/>
          <w:left w:val="nil"/>
          <w:bottom w:val="nil"/>
          <w:right w:val="nil"/>
          <w:between w:val="nil"/>
        </w:pBdr>
        <w:spacing w:before="20" w:line="240" w:lineRule="auto"/>
        <w:ind w:hanging="2"/>
        <w:rPr>
          <w:rFonts w:eastAsia="Arial" w:cstheme="minorHAnsi"/>
          <w:color w:val="000000" w:themeColor="text1"/>
          <w:lang w:val="en-GB"/>
        </w:rPr>
      </w:pPr>
      <w:r w:rsidRPr="0027399F">
        <w:rPr>
          <w:rFonts w:eastAsia="Arial" w:cstheme="minorHAnsi"/>
          <w:color w:val="000000" w:themeColor="text1"/>
          <w:lang w:val="en-GB"/>
        </w:rPr>
        <w:lastRenderedPageBreak/>
        <w:t xml:space="preserve">With the emergence of new types of data, such as Omics into the clinical space, new Open-Source Software Languages are being adopted as part of a wider industry trend. A centralised strategy needs to be established on how to deal with Open-Source Software in the regulated environment. </w:t>
      </w:r>
      <w:proofErr w:type="spellStart"/>
      <w:r w:rsidRPr="0027399F">
        <w:rPr>
          <w:rFonts w:eastAsia="Arial" w:cstheme="minorHAnsi"/>
          <w:color w:val="000000" w:themeColor="text1"/>
          <w:lang w:val="en-GB"/>
        </w:rPr>
        <w:t>BioCompute</w:t>
      </w:r>
      <w:proofErr w:type="spellEnd"/>
      <w:r w:rsidRPr="0027399F">
        <w:rPr>
          <w:rFonts w:eastAsia="Arial" w:cstheme="minorHAnsi"/>
          <w:color w:val="000000" w:themeColor="text1"/>
          <w:lang w:val="en-GB"/>
        </w:rPr>
        <w:t xml:space="preserve"> is a</w:t>
      </w:r>
      <w:r w:rsidR="008C2696">
        <w:rPr>
          <w:rFonts w:eastAsia="Arial" w:cstheme="minorHAnsi"/>
          <w:color w:val="000000" w:themeColor="text1"/>
          <w:lang w:val="en-GB"/>
        </w:rPr>
        <w:t>n</w:t>
      </w:r>
      <w:r w:rsidRPr="0027399F">
        <w:rPr>
          <w:rFonts w:eastAsia="Arial" w:cstheme="minorHAnsi"/>
          <w:color w:val="000000" w:themeColor="text1"/>
          <w:lang w:val="en-GB"/>
        </w:rPr>
        <w:t xml:space="preserve"> </w:t>
      </w:r>
      <w:r w:rsidR="008C2696">
        <w:rPr>
          <w:rFonts w:eastAsia="Arial" w:cstheme="minorHAnsi"/>
          <w:color w:val="000000" w:themeColor="text1"/>
          <w:lang w:val="en-GB"/>
        </w:rPr>
        <w:t xml:space="preserve">important </w:t>
      </w:r>
      <w:r w:rsidRPr="0027399F">
        <w:rPr>
          <w:rFonts w:eastAsia="Arial" w:cstheme="minorHAnsi"/>
          <w:color w:val="000000" w:themeColor="text1"/>
          <w:lang w:val="en-GB"/>
        </w:rPr>
        <w:t xml:space="preserve">step toward managing the complexities of these moving parts and the changing landscape. </w:t>
      </w:r>
    </w:p>
    <w:p w14:paraId="76E3B1E0" w14:textId="77777777" w:rsidR="00DA5326" w:rsidRPr="0027399F" w:rsidRDefault="00DA5326" w:rsidP="00DA5326">
      <w:pPr>
        <w:rPr>
          <w:rFonts w:cstheme="minorHAnsi"/>
        </w:rPr>
      </w:pPr>
    </w:p>
    <w:p w14:paraId="182BD2BE" w14:textId="6B0DF7F4" w:rsidR="00DA5326" w:rsidRPr="0027399F" w:rsidRDefault="00467F52" w:rsidP="00DA5326">
      <w:pPr>
        <w:pStyle w:val="Heading1"/>
        <w:rPr>
          <w:rFonts w:asciiTheme="minorHAnsi" w:hAnsiTheme="minorHAnsi" w:cstheme="minorHAnsi"/>
        </w:rPr>
      </w:pPr>
      <w:bookmarkStart w:id="7" w:name="_Toc93493880"/>
      <w:r w:rsidRPr="0027399F">
        <w:rPr>
          <w:rFonts w:asciiTheme="minorHAnsi" w:hAnsiTheme="minorHAnsi" w:cstheme="minorHAnsi"/>
        </w:rPr>
        <w:t>8</w:t>
      </w:r>
      <w:r w:rsidR="00303464" w:rsidRPr="0027399F">
        <w:rPr>
          <w:rFonts w:asciiTheme="minorHAnsi" w:hAnsiTheme="minorHAnsi" w:cstheme="minorHAnsi"/>
        </w:rPr>
        <w:t xml:space="preserve">: </w:t>
      </w:r>
      <w:r w:rsidR="00DA5326" w:rsidRPr="0027399F">
        <w:rPr>
          <w:rFonts w:asciiTheme="minorHAnsi" w:hAnsiTheme="minorHAnsi" w:cstheme="minorHAnsi"/>
        </w:rPr>
        <w:t>Disclaimer:</w:t>
      </w:r>
      <w:bookmarkEnd w:id="7"/>
    </w:p>
    <w:p w14:paraId="179AD73D" w14:textId="5973C8D3" w:rsidR="00156C1A" w:rsidRPr="0027399F" w:rsidRDefault="00122F0F" w:rsidP="00122F0F">
      <w:pPr>
        <w:rPr>
          <w:rFonts w:cstheme="minorHAnsi"/>
        </w:rPr>
      </w:pPr>
      <w:r w:rsidRPr="0027399F">
        <w:rPr>
          <w:rFonts w:cstheme="minorHAnsi"/>
        </w:rPr>
        <w:t>The opinions expressed in this document are those of the authors and should not be construed to represent the opinions of PHUSE members; respective companies/organizations or Regulator’s views or policies. The content in this document should not be interpreted as a data standard and/or information required by Regulatory Authorities.</w:t>
      </w:r>
    </w:p>
    <w:p w14:paraId="644079F2" w14:textId="77777777" w:rsidR="00DA5326" w:rsidRPr="0027399F" w:rsidRDefault="00DA5326" w:rsidP="00DA5326">
      <w:pPr>
        <w:rPr>
          <w:rFonts w:cstheme="minorHAnsi"/>
        </w:rPr>
      </w:pPr>
    </w:p>
    <w:p w14:paraId="03A1669F" w14:textId="77777777" w:rsidR="0027399F" w:rsidRDefault="0027399F">
      <w:pPr>
        <w:widowControl/>
        <w:spacing w:after="0"/>
        <w:rPr>
          <w:rFonts w:eastAsiaTheme="majorEastAsia" w:cstheme="minorHAnsi"/>
          <w:b/>
          <w:bCs/>
          <w:color w:val="365F91" w:themeColor="accent1" w:themeShade="BF"/>
          <w:sz w:val="28"/>
          <w:szCs w:val="28"/>
        </w:rPr>
      </w:pPr>
      <w:bookmarkStart w:id="8" w:name="_Toc93493881"/>
      <w:r>
        <w:rPr>
          <w:rFonts w:cstheme="minorHAnsi"/>
        </w:rPr>
        <w:br w:type="page"/>
      </w:r>
    </w:p>
    <w:p w14:paraId="1893183A" w14:textId="4B8D37C5" w:rsidR="00DA5326" w:rsidRPr="0027399F" w:rsidRDefault="00467F52" w:rsidP="00DA5326">
      <w:pPr>
        <w:pStyle w:val="Heading1"/>
        <w:rPr>
          <w:rFonts w:asciiTheme="minorHAnsi" w:hAnsiTheme="minorHAnsi" w:cstheme="minorHAnsi"/>
        </w:rPr>
      </w:pPr>
      <w:r w:rsidRPr="0027399F">
        <w:rPr>
          <w:rFonts w:asciiTheme="minorHAnsi" w:hAnsiTheme="minorHAnsi" w:cstheme="minorHAnsi"/>
        </w:rPr>
        <w:lastRenderedPageBreak/>
        <w:t>9</w:t>
      </w:r>
      <w:r w:rsidR="00303464" w:rsidRPr="0027399F">
        <w:rPr>
          <w:rFonts w:asciiTheme="minorHAnsi" w:hAnsiTheme="minorHAnsi" w:cstheme="minorHAnsi"/>
        </w:rPr>
        <w:t xml:space="preserve">: </w:t>
      </w:r>
      <w:r w:rsidR="00DA5326" w:rsidRPr="0027399F">
        <w:rPr>
          <w:rFonts w:asciiTheme="minorHAnsi" w:hAnsiTheme="minorHAnsi" w:cstheme="minorHAnsi"/>
        </w:rPr>
        <w:t>Appendices:</w:t>
      </w:r>
      <w:bookmarkEnd w:id="8"/>
    </w:p>
    <w:p w14:paraId="3D887D4D" w14:textId="77777777" w:rsidR="0027399F" w:rsidRPr="0027399F" w:rsidRDefault="0027399F" w:rsidP="0027399F">
      <w:pPr>
        <w:pBdr>
          <w:top w:val="nil"/>
          <w:left w:val="nil"/>
          <w:bottom w:val="nil"/>
          <w:right w:val="nil"/>
          <w:between w:val="nil"/>
        </w:pBdr>
        <w:spacing w:before="20" w:line="240" w:lineRule="auto"/>
        <w:rPr>
          <w:rFonts w:eastAsia="Arial" w:cstheme="minorHAnsi"/>
          <w:color w:val="000000" w:themeColor="text1"/>
          <w:sz w:val="18"/>
          <w:szCs w:val="18"/>
          <w:lang w:val="en-GB"/>
        </w:rPr>
      </w:pPr>
    </w:p>
    <w:p w14:paraId="383BCCAA" w14:textId="77777777" w:rsidR="0027399F" w:rsidRPr="0027399F" w:rsidRDefault="0027399F" w:rsidP="0027399F">
      <w:pPr>
        <w:keepNext/>
        <w:pBdr>
          <w:top w:val="nil"/>
          <w:left w:val="nil"/>
          <w:bottom w:val="nil"/>
          <w:right w:val="nil"/>
          <w:between w:val="nil"/>
        </w:pBdr>
        <w:spacing w:before="20" w:line="240" w:lineRule="auto"/>
        <w:ind w:hanging="2"/>
        <w:rPr>
          <w:rFonts w:cstheme="minorHAnsi"/>
          <w:sz w:val="28"/>
          <w:szCs w:val="28"/>
        </w:rPr>
      </w:pPr>
      <w:r w:rsidRPr="0027399F">
        <w:rPr>
          <w:rFonts w:cstheme="minorHAnsi"/>
          <w:noProof/>
          <w:sz w:val="28"/>
          <w:szCs w:val="28"/>
        </w:rPr>
        <w:drawing>
          <wp:inline distT="0" distB="0" distL="0" distR="0" wp14:anchorId="30321B42" wp14:editId="51998ADE">
            <wp:extent cx="5943600" cy="3293745"/>
            <wp:effectExtent l="0" t="0" r="0" b="1905"/>
            <wp:docPr id="118759591" name="Picture 2" descr="A computer screen shot of a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59591" name="Picture 2" descr="A computer screen shot of a code&#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293745"/>
                    </a:xfrm>
                    <a:prstGeom prst="rect">
                      <a:avLst/>
                    </a:prstGeom>
                    <a:noFill/>
                    <a:ln>
                      <a:noFill/>
                    </a:ln>
                  </pic:spPr>
                </pic:pic>
              </a:graphicData>
            </a:graphic>
          </wp:inline>
        </w:drawing>
      </w:r>
    </w:p>
    <w:p w14:paraId="6927597E" w14:textId="77777777" w:rsidR="0027399F" w:rsidRPr="0027399F" w:rsidRDefault="0027399F" w:rsidP="0027399F">
      <w:pPr>
        <w:pStyle w:val="Caption"/>
        <w:ind w:left="0" w:hanging="2"/>
        <w:rPr>
          <w:rFonts w:asciiTheme="minorHAnsi" w:eastAsia="Arial" w:hAnsiTheme="minorHAnsi" w:cstheme="minorHAnsi"/>
          <w:color w:val="000000" w:themeColor="text1"/>
          <w:sz w:val="21"/>
          <w:szCs w:val="21"/>
          <w:lang w:val="en-GB"/>
        </w:rPr>
      </w:pPr>
      <w:r w:rsidRPr="0027399F">
        <w:rPr>
          <w:rFonts w:asciiTheme="minorHAnsi" w:hAnsiTheme="minorHAnsi" w:cstheme="minorHAnsi"/>
          <w:sz w:val="21"/>
          <w:szCs w:val="21"/>
        </w:rPr>
        <w:t xml:space="preserve">Appendix </w:t>
      </w:r>
      <w:r w:rsidRPr="0027399F">
        <w:rPr>
          <w:rFonts w:asciiTheme="minorHAnsi" w:hAnsiTheme="minorHAnsi" w:cstheme="minorHAnsi"/>
          <w:sz w:val="21"/>
          <w:szCs w:val="21"/>
        </w:rPr>
        <w:fldChar w:fldCharType="begin"/>
      </w:r>
      <w:r w:rsidRPr="0027399F">
        <w:rPr>
          <w:rFonts w:asciiTheme="minorHAnsi" w:hAnsiTheme="minorHAnsi" w:cstheme="minorHAnsi"/>
          <w:sz w:val="21"/>
          <w:szCs w:val="21"/>
        </w:rPr>
        <w:instrText xml:space="preserve"> SEQ Appendix \* ARABIC </w:instrText>
      </w:r>
      <w:r w:rsidRPr="0027399F">
        <w:rPr>
          <w:rFonts w:asciiTheme="minorHAnsi" w:hAnsiTheme="minorHAnsi" w:cstheme="minorHAnsi"/>
          <w:sz w:val="21"/>
          <w:szCs w:val="21"/>
        </w:rPr>
        <w:fldChar w:fldCharType="separate"/>
      </w:r>
      <w:r w:rsidRPr="0027399F">
        <w:rPr>
          <w:rFonts w:asciiTheme="minorHAnsi" w:hAnsiTheme="minorHAnsi" w:cstheme="minorHAnsi"/>
          <w:noProof/>
          <w:sz w:val="21"/>
          <w:szCs w:val="21"/>
        </w:rPr>
        <w:t>1</w:t>
      </w:r>
      <w:r w:rsidRPr="0027399F">
        <w:rPr>
          <w:rFonts w:asciiTheme="minorHAnsi" w:hAnsiTheme="minorHAnsi" w:cstheme="minorHAnsi"/>
          <w:noProof/>
          <w:sz w:val="21"/>
          <w:szCs w:val="21"/>
        </w:rPr>
        <w:fldChar w:fldCharType="end"/>
      </w:r>
      <w:r w:rsidRPr="0027399F">
        <w:rPr>
          <w:rFonts w:asciiTheme="minorHAnsi" w:hAnsiTheme="minorHAnsi" w:cstheme="minorHAnsi"/>
          <w:sz w:val="21"/>
          <w:szCs w:val="21"/>
        </w:rPr>
        <w:t>: R code used to generate the tables used in Figure 3.</w:t>
      </w:r>
    </w:p>
    <w:p w14:paraId="067630B2" w14:textId="77777777" w:rsidR="0027399F" w:rsidRPr="0027399F" w:rsidRDefault="0027399F">
      <w:pPr>
        <w:widowControl/>
        <w:spacing w:after="0"/>
        <w:rPr>
          <w:rFonts w:eastAsiaTheme="majorEastAsia" w:cstheme="minorHAnsi"/>
          <w:b/>
          <w:bCs/>
          <w:color w:val="365F91" w:themeColor="accent1" w:themeShade="BF"/>
          <w:sz w:val="36"/>
          <w:szCs w:val="36"/>
        </w:rPr>
      </w:pPr>
      <w:r w:rsidRPr="0027399F">
        <w:rPr>
          <w:rFonts w:cstheme="minorHAnsi"/>
          <w:sz w:val="28"/>
          <w:szCs w:val="28"/>
        </w:rPr>
        <w:br w:type="page"/>
      </w:r>
    </w:p>
    <w:p w14:paraId="082EEA6B" w14:textId="55A06CAE" w:rsidR="0027399F" w:rsidRPr="0027399F" w:rsidRDefault="0027399F" w:rsidP="0027399F">
      <w:pPr>
        <w:pStyle w:val="Heading1"/>
        <w:rPr>
          <w:rFonts w:asciiTheme="minorHAnsi" w:hAnsiTheme="minorHAnsi" w:cstheme="minorHAnsi"/>
        </w:rPr>
      </w:pPr>
      <w:r w:rsidRPr="0027399F">
        <w:rPr>
          <w:rFonts w:asciiTheme="minorHAnsi" w:hAnsiTheme="minorHAnsi" w:cstheme="minorHAnsi"/>
        </w:rPr>
        <w:lastRenderedPageBreak/>
        <w:t>10: References:</w:t>
      </w:r>
    </w:p>
    <w:p w14:paraId="007DC659" w14:textId="77777777" w:rsidR="0027399F" w:rsidRPr="0027399F" w:rsidRDefault="0027399F" w:rsidP="0027399F">
      <w:pPr>
        <w:widowControl/>
        <w:pBdr>
          <w:top w:val="nil"/>
          <w:left w:val="nil"/>
          <w:bottom w:val="nil"/>
          <w:right w:val="nil"/>
          <w:between w:val="nil"/>
        </w:pBdr>
        <w:spacing w:before="240" w:line="240" w:lineRule="auto"/>
        <w:ind w:hanging="2"/>
        <w:rPr>
          <w:rFonts w:cstheme="minorHAnsi"/>
        </w:rPr>
      </w:pPr>
      <w:r w:rsidRPr="0027399F">
        <w:rPr>
          <w:rFonts w:eastAsia="Arial" w:cstheme="minorHAnsi"/>
          <w:color w:val="000000" w:themeColor="text1"/>
          <w:lang w:val="en-GB"/>
        </w:rPr>
        <w:t xml:space="preserve">[1] </w:t>
      </w:r>
      <w:hyperlink r:id="rId44">
        <w:r w:rsidRPr="0027399F">
          <w:rPr>
            <w:rStyle w:val="Hyperlink"/>
            <w:rFonts w:eastAsia="Arial" w:cstheme="minorHAnsi"/>
          </w:rPr>
          <w:t>https://www.iso.org/committee/7546903.html</w:t>
        </w:r>
      </w:hyperlink>
    </w:p>
    <w:p w14:paraId="742EF841" w14:textId="77777777" w:rsidR="0027399F" w:rsidRPr="0027399F" w:rsidRDefault="0027399F" w:rsidP="0027399F">
      <w:pPr>
        <w:pBdr>
          <w:top w:val="nil"/>
          <w:left w:val="nil"/>
          <w:bottom w:val="nil"/>
          <w:right w:val="nil"/>
          <w:between w:val="nil"/>
        </w:pBdr>
        <w:spacing w:before="20" w:line="240" w:lineRule="auto"/>
        <w:ind w:hanging="2"/>
        <w:rPr>
          <w:rFonts w:eastAsia="Arial" w:cstheme="minorHAnsi"/>
          <w:color w:val="000000" w:themeColor="text1"/>
        </w:rPr>
      </w:pPr>
      <w:r w:rsidRPr="0027399F">
        <w:rPr>
          <w:rFonts w:eastAsia="Arial" w:cstheme="minorHAnsi"/>
          <w:color w:val="000000" w:themeColor="text1"/>
        </w:rPr>
        <w:t xml:space="preserve">[2] </w:t>
      </w:r>
      <w:hyperlink r:id="rId45">
        <w:r w:rsidRPr="0027399F">
          <w:rPr>
            <w:rStyle w:val="Hyperlink"/>
            <w:rFonts w:eastAsia="Arial" w:cstheme="minorHAnsi"/>
          </w:rPr>
          <w:t>https://standards.ieee.org/ieee/2791/7337/</w:t>
        </w:r>
      </w:hyperlink>
    </w:p>
    <w:p w14:paraId="48F6D119" w14:textId="77777777" w:rsidR="0027399F" w:rsidRPr="0027399F" w:rsidRDefault="0027399F" w:rsidP="0027399F">
      <w:pPr>
        <w:pBdr>
          <w:top w:val="nil"/>
          <w:left w:val="nil"/>
          <w:bottom w:val="nil"/>
          <w:right w:val="nil"/>
          <w:between w:val="nil"/>
        </w:pBdr>
        <w:spacing w:before="20" w:line="240" w:lineRule="auto"/>
        <w:ind w:hanging="2"/>
        <w:rPr>
          <w:rFonts w:eastAsia="Arial" w:cstheme="minorHAnsi"/>
          <w:color w:val="000000" w:themeColor="text1"/>
        </w:rPr>
      </w:pPr>
      <w:r w:rsidRPr="0027399F">
        <w:rPr>
          <w:rFonts w:eastAsia="Arial" w:cstheme="minorHAnsi"/>
          <w:color w:val="000000" w:themeColor="text1"/>
          <w:lang w:val="en-GB"/>
        </w:rPr>
        <w:t xml:space="preserve">[3] </w:t>
      </w:r>
      <w:hyperlink r:id="rId46">
        <w:r w:rsidRPr="0027399F">
          <w:rPr>
            <w:rStyle w:val="Hyperlink"/>
            <w:rFonts w:eastAsia="Arial" w:cstheme="minorHAnsi"/>
            <w:lang w:val="en-GB"/>
          </w:rPr>
          <w:t>https://www.fda.gov/medical-devices/in-vitro-diagnostics/precision-medicine</w:t>
        </w:r>
      </w:hyperlink>
    </w:p>
    <w:p w14:paraId="3FC07849" w14:textId="77777777" w:rsidR="0027399F" w:rsidRPr="0027399F" w:rsidRDefault="0027399F" w:rsidP="0027399F">
      <w:pPr>
        <w:pBdr>
          <w:top w:val="nil"/>
          <w:left w:val="nil"/>
          <w:bottom w:val="nil"/>
          <w:right w:val="nil"/>
          <w:between w:val="nil"/>
        </w:pBdr>
        <w:spacing w:before="20" w:line="240" w:lineRule="auto"/>
        <w:ind w:hanging="2"/>
        <w:rPr>
          <w:rFonts w:eastAsia="Arial" w:cstheme="minorHAnsi"/>
          <w:color w:val="000000" w:themeColor="text1"/>
        </w:rPr>
      </w:pPr>
      <w:r w:rsidRPr="0027399F">
        <w:rPr>
          <w:rFonts w:eastAsia="Arial" w:cstheme="minorHAnsi"/>
          <w:color w:val="000000" w:themeColor="text1"/>
          <w:lang w:val="en-GB"/>
        </w:rPr>
        <w:t xml:space="preserve">[4] </w:t>
      </w:r>
      <w:hyperlink r:id="rId47">
        <w:r w:rsidRPr="0027399F">
          <w:rPr>
            <w:rStyle w:val="Hyperlink"/>
            <w:rFonts w:eastAsia="Arial" w:cstheme="minorHAnsi"/>
            <w:lang w:val="en-GB"/>
          </w:rPr>
          <w:t>https://www.cdisc.org/sites/default/files/2025-05/6B%20CDISC%202025-6B-Fitting%20multi-omics%20into%20SDTM.pdf</w:t>
        </w:r>
      </w:hyperlink>
    </w:p>
    <w:p w14:paraId="55D357F1" w14:textId="77777777" w:rsidR="0027399F" w:rsidRPr="0027399F" w:rsidRDefault="0027399F" w:rsidP="0027399F">
      <w:pPr>
        <w:pBdr>
          <w:top w:val="nil"/>
          <w:left w:val="nil"/>
          <w:bottom w:val="nil"/>
          <w:right w:val="nil"/>
          <w:between w:val="nil"/>
        </w:pBdr>
        <w:spacing w:before="20" w:line="240" w:lineRule="auto"/>
        <w:ind w:hanging="2"/>
        <w:rPr>
          <w:rFonts w:eastAsia="Arial" w:cstheme="minorHAnsi"/>
          <w:color w:val="000000" w:themeColor="text1"/>
          <w:lang w:val="en-GB"/>
        </w:rPr>
      </w:pPr>
      <w:r w:rsidRPr="0027399F">
        <w:rPr>
          <w:rFonts w:eastAsia="Arial" w:cstheme="minorHAnsi"/>
          <w:color w:val="000000" w:themeColor="text1"/>
          <w:lang w:val="en-GB"/>
        </w:rPr>
        <w:t xml:space="preserve">[5] </w:t>
      </w:r>
      <w:hyperlink r:id="rId48" w:history="1">
        <w:r w:rsidRPr="0027399F">
          <w:rPr>
            <w:rStyle w:val="Hyperlink"/>
            <w:rFonts w:cstheme="minorHAnsi"/>
          </w:rPr>
          <w:t>https://arpa-h.gov/explore-funding/programs/arpa-h-bdf-toolbox</w:t>
        </w:r>
      </w:hyperlink>
      <w:r w:rsidRPr="0027399F">
        <w:rPr>
          <w:rFonts w:eastAsia="Arial" w:cstheme="minorHAnsi"/>
          <w:color w:val="000000" w:themeColor="text1"/>
          <w:lang w:val="en-GB"/>
        </w:rPr>
        <w:t xml:space="preserve"> </w:t>
      </w:r>
    </w:p>
    <w:p w14:paraId="27E1A712" w14:textId="77777777" w:rsidR="0027399F" w:rsidRPr="0027399F" w:rsidRDefault="0027399F" w:rsidP="0027399F">
      <w:pPr>
        <w:ind w:hanging="2"/>
        <w:rPr>
          <w:rFonts w:cstheme="minorHAnsi"/>
          <w:color w:val="000000"/>
        </w:rPr>
      </w:pPr>
      <w:r w:rsidRPr="0027399F">
        <w:rPr>
          <w:rFonts w:cstheme="minorHAnsi"/>
        </w:rPr>
        <w:t xml:space="preserve">[6] </w:t>
      </w:r>
      <w:hyperlink r:id="rId49" w:history="1">
        <w:r w:rsidRPr="0027399F">
          <w:rPr>
            <w:rStyle w:val="Hyperlink"/>
            <w:rFonts w:cstheme="minorHAnsi"/>
          </w:rPr>
          <w:t>https://dnahive.com/feast-and-the-arpa-h-bdf-toolbox.html</w:t>
        </w:r>
      </w:hyperlink>
    </w:p>
    <w:p w14:paraId="16D3344F" w14:textId="77777777" w:rsidR="0027399F" w:rsidRPr="0027399F" w:rsidRDefault="0027399F" w:rsidP="0027399F">
      <w:pPr>
        <w:pBdr>
          <w:top w:val="nil"/>
          <w:left w:val="nil"/>
          <w:bottom w:val="nil"/>
          <w:right w:val="nil"/>
          <w:between w:val="nil"/>
        </w:pBdr>
        <w:spacing w:before="20" w:line="240" w:lineRule="auto"/>
        <w:ind w:hanging="2"/>
        <w:rPr>
          <w:rFonts w:eastAsia="Arial" w:cstheme="minorHAnsi"/>
          <w:color w:val="000000" w:themeColor="text1"/>
        </w:rPr>
      </w:pPr>
      <w:r w:rsidRPr="0027399F">
        <w:rPr>
          <w:rFonts w:eastAsia="Arial" w:cstheme="minorHAnsi"/>
          <w:color w:val="000000" w:themeColor="text1"/>
          <w:lang w:val="en-GB"/>
        </w:rPr>
        <w:t xml:space="preserve">[7] </w:t>
      </w:r>
      <w:hyperlink r:id="rId50">
        <w:r w:rsidRPr="0027399F">
          <w:rPr>
            <w:rStyle w:val="Hyperlink"/>
            <w:rFonts w:eastAsia="Arial" w:cstheme="minorHAnsi"/>
            <w:lang w:val="en-GB"/>
          </w:rPr>
          <w:t>https://arxiv.org/pdf/2501.17729</w:t>
        </w:r>
      </w:hyperlink>
    </w:p>
    <w:p w14:paraId="3F8A7B36" w14:textId="77777777" w:rsidR="0027399F" w:rsidRPr="0027399F" w:rsidRDefault="0027399F" w:rsidP="0027399F">
      <w:pPr>
        <w:pBdr>
          <w:top w:val="nil"/>
          <w:left w:val="nil"/>
          <w:bottom w:val="nil"/>
          <w:right w:val="nil"/>
          <w:between w:val="nil"/>
        </w:pBdr>
        <w:spacing w:before="20" w:line="240" w:lineRule="auto"/>
        <w:ind w:hanging="2"/>
        <w:rPr>
          <w:rFonts w:eastAsia="Arial" w:cstheme="minorHAnsi"/>
          <w:color w:val="000000" w:themeColor="text1"/>
        </w:rPr>
      </w:pPr>
      <w:r w:rsidRPr="0027399F">
        <w:rPr>
          <w:rFonts w:eastAsia="Arial" w:cstheme="minorHAnsi"/>
          <w:color w:val="000000" w:themeColor="text1"/>
          <w:lang w:val="en-GB"/>
        </w:rPr>
        <w:t xml:space="preserve">[8] </w:t>
      </w:r>
      <w:hyperlink r:id="rId51">
        <w:r w:rsidRPr="0027399F">
          <w:rPr>
            <w:rStyle w:val="Hyperlink"/>
            <w:rFonts w:eastAsia="Arial" w:cstheme="minorHAnsi"/>
            <w:lang w:val="en-GB"/>
          </w:rPr>
          <w:t>https://pmc.ncbi.nlm.nih.gov/articles/PMC7003173/</w:t>
        </w:r>
      </w:hyperlink>
    </w:p>
    <w:p w14:paraId="3EA5AF84" w14:textId="77777777" w:rsidR="0027399F" w:rsidRPr="0027399F" w:rsidRDefault="0027399F" w:rsidP="0027399F">
      <w:pPr>
        <w:pBdr>
          <w:top w:val="nil"/>
          <w:left w:val="nil"/>
          <w:bottom w:val="nil"/>
          <w:right w:val="nil"/>
          <w:between w:val="nil"/>
        </w:pBdr>
        <w:spacing w:before="20" w:line="240" w:lineRule="auto"/>
        <w:ind w:hanging="2"/>
        <w:rPr>
          <w:rFonts w:eastAsia="Arial" w:cstheme="minorHAnsi"/>
          <w:color w:val="000000" w:themeColor="text1"/>
        </w:rPr>
      </w:pPr>
      <w:r w:rsidRPr="0027399F">
        <w:rPr>
          <w:rFonts w:eastAsia="Arial" w:cstheme="minorHAnsi"/>
          <w:color w:val="000000" w:themeColor="text1"/>
          <w:lang w:val="en-GB"/>
        </w:rPr>
        <w:t xml:space="preserve">[9] </w:t>
      </w:r>
      <w:hyperlink r:id="rId52">
        <w:r w:rsidRPr="0027399F">
          <w:rPr>
            <w:rStyle w:val="Hyperlink"/>
            <w:rFonts w:eastAsia="Arial" w:cstheme="minorHAnsi"/>
            <w:lang w:val="en-GB"/>
          </w:rPr>
          <w:t>https://doi.org/10.1371/journal.pcbi.1012901</w:t>
        </w:r>
      </w:hyperlink>
    </w:p>
    <w:p w14:paraId="754B402E" w14:textId="77777777" w:rsidR="0027399F" w:rsidRPr="0027399F" w:rsidRDefault="0027399F" w:rsidP="0027399F">
      <w:pPr>
        <w:pBdr>
          <w:top w:val="nil"/>
          <w:left w:val="nil"/>
          <w:bottom w:val="nil"/>
          <w:right w:val="nil"/>
          <w:between w:val="nil"/>
        </w:pBdr>
        <w:spacing w:before="20" w:line="240" w:lineRule="auto"/>
        <w:ind w:hanging="2"/>
        <w:rPr>
          <w:rFonts w:eastAsia="Arial" w:cstheme="minorHAnsi"/>
          <w:color w:val="000000" w:themeColor="text1"/>
        </w:rPr>
      </w:pPr>
      <w:r w:rsidRPr="0027399F">
        <w:rPr>
          <w:rFonts w:eastAsia="Arial" w:cstheme="minorHAnsi"/>
          <w:color w:val="000000" w:themeColor="text1"/>
          <w:lang w:val="en-GB"/>
        </w:rPr>
        <w:t xml:space="preserve">[10] </w:t>
      </w:r>
      <w:hyperlink r:id="rId53">
        <w:r w:rsidRPr="0027399F">
          <w:rPr>
            <w:rStyle w:val="Hyperlink"/>
            <w:rFonts w:eastAsia="Arial" w:cstheme="minorHAnsi"/>
            <w:lang w:val="en-GB"/>
          </w:rPr>
          <w:t>https://doi.org/10.1093/nar/gkaf394</w:t>
        </w:r>
      </w:hyperlink>
    </w:p>
    <w:p w14:paraId="62EA0DC2" w14:textId="77777777" w:rsidR="0027399F" w:rsidRPr="0027399F" w:rsidRDefault="0027399F" w:rsidP="0027399F">
      <w:pPr>
        <w:pBdr>
          <w:top w:val="nil"/>
          <w:left w:val="nil"/>
          <w:bottom w:val="nil"/>
          <w:right w:val="nil"/>
          <w:between w:val="nil"/>
        </w:pBdr>
        <w:spacing w:before="20" w:line="240" w:lineRule="auto"/>
        <w:ind w:hanging="2"/>
        <w:rPr>
          <w:rFonts w:eastAsia="Arial" w:cstheme="minorHAnsi"/>
          <w:color w:val="000000" w:themeColor="text1"/>
        </w:rPr>
      </w:pPr>
      <w:r w:rsidRPr="0027399F">
        <w:rPr>
          <w:rFonts w:eastAsia="Arial" w:cstheme="minorHAnsi"/>
          <w:color w:val="000000" w:themeColor="text1"/>
          <w:lang w:val="en-GB"/>
        </w:rPr>
        <w:t xml:space="preserve">[11] </w:t>
      </w:r>
      <w:hyperlink r:id="rId54">
        <w:r w:rsidRPr="0027399F">
          <w:rPr>
            <w:rStyle w:val="Hyperlink"/>
            <w:rFonts w:eastAsia="Arial" w:cstheme="minorHAnsi"/>
            <w:lang w:val="en-GB"/>
          </w:rPr>
          <w:t>http://www.nature.com/nbt/journal/v35/n4/full/nbt.3820.html</w:t>
        </w:r>
      </w:hyperlink>
    </w:p>
    <w:p w14:paraId="481EBEA4" w14:textId="77777777" w:rsidR="0027399F" w:rsidRPr="0027399F" w:rsidRDefault="0027399F" w:rsidP="0027399F">
      <w:pPr>
        <w:pBdr>
          <w:top w:val="nil"/>
          <w:left w:val="nil"/>
          <w:bottom w:val="nil"/>
          <w:right w:val="nil"/>
          <w:between w:val="nil"/>
        </w:pBdr>
        <w:spacing w:before="20" w:line="240" w:lineRule="auto"/>
        <w:ind w:hanging="2"/>
        <w:rPr>
          <w:rFonts w:eastAsia="Arial" w:cstheme="minorHAnsi"/>
          <w:color w:val="000000" w:themeColor="text1"/>
        </w:rPr>
      </w:pPr>
      <w:r w:rsidRPr="0027399F">
        <w:rPr>
          <w:rFonts w:eastAsia="Arial" w:cstheme="minorHAnsi"/>
          <w:color w:val="000000" w:themeColor="text1"/>
          <w:lang w:val="en-GB"/>
        </w:rPr>
        <w:t xml:space="preserve">[12] </w:t>
      </w:r>
      <w:hyperlink r:id="rId55">
        <w:r w:rsidRPr="0027399F">
          <w:rPr>
            <w:rStyle w:val="Hyperlink"/>
            <w:rFonts w:eastAsia="Arial" w:cstheme="minorHAnsi"/>
            <w:lang w:val="en-GB"/>
          </w:rPr>
          <w:t>https://www.commonwl.org/</w:t>
        </w:r>
      </w:hyperlink>
    </w:p>
    <w:p w14:paraId="5E847A62" w14:textId="77777777" w:rsidR="0027399F" w:rsidRPr="0027399F" w:rsidRDefault="0027399F" w:rsidP="0027399F">
      <w:pPr>
        <w:pBdr>
          <w:top w:val="nil"/>
          <w:left w:val="nil"/>
          <w:bottom w:val="nil"/>
          <w:right w:val="nil"/>
          <w:between w:val="nil"/>
        </w:pBdr>
        <w:spacing w:before="20" w:line="240" w:lineRule="auto"/>
        <w:ind w:hanging="2"/>
        <w:rPr>
          <w:rFonts w:eastAsia="Arial" w:cstheme="minorHAnsi"/>
          <w:color w:val="000000" w:themeColor="text1"/>
        </w:rPr>
      </w:pPr>
      <w:r w:rsidRPr="0027399F">
        <w:rPr>
          <w:rFonts w:eastAsia="Arial" w:cstheme="minorHAnsi"/>
          <w:color w:val="000000" w:themeColor="text1"/>
          <w:lang w:val="en-GB"/>
        </w:rPr>
        <w:t xml:space="preserve">[13] </w:t>
      </w:r>
      <w:hyperlink r:id="rId56">
        <w:r w:rsidRPr="0027399F">
          <w:rPr>
            <w:rStyle w:val="Hyperlink"/>
            <w:rFonts w:eastAsia="Arial" w:cstheme="minorHAnsi"/>
            <w:lang w:val="en-GB"/>
          </w:rPr>
          <w:t>https://www.fda.gov/regulatory-information/search-fda-guidance-documents/study-data-technical-conformance-guide-technical-specifications-document</w:t>
        </w:r>
      </w:hyperlink>
    </w:p>
    <w:p w14:paraId="1B57F585" w14:textId="77777777" w:rsidR="0027399F" w:rsidRPr="0027399F" w:rsidRDefault="0027399F" w:rsidP="0027399F">
      <w:pPr>
        <w:pBdr>
          <w:top w:val="nil"/>
          <w:left w:val="nil"/>
          <w:bottom w:val="nil"/>
          <w:right w:val="nil"/>
          <w:between w:val="nil"/>
        </w:pBdr>
        <w:spacing w:before="20" w:line="240" w:lineRule="auto"/>
        <w:ind w:hanging="2"/>
        <w:rPr>
          <w:rFonts w:eastAsia="Arial" w:cstheme="minorHAnsi"/>
          <w:color w:val="000000" w:themeColor="text1"/>
        </w:rPr>
      </w:pPr>
      <w:r w:rsidRPr="0027399F">
        <w:rPr>
          <w:rFonts w:eastAsia="Arial" w:cstheme="minorHAnsi"/>
          <w:color w:val="000000" w:themeColor="text1"/>
          <w:lang w:val="en-GB"/>
        </w:rPr>
        <w:t xml:space="preserve">[14] </w:t>
      </w:r>
      <w:hyperlink r:id="rId57" w:anchor=":~:text=the%20WebTrader%20Client.-,What%20is%20the%20maximum%20file%20size%20that%20can%20be%20sent,10%20GB%20of%20uncompressed%20data">
        <w:r w:rsidRPr="0027399F">
          <w:rPr>
            <w:rStyle w:val="Hyperlink"/>
            <w:rFonts w:eastAsia="Arial" w:cstheme="minorHAnsi"/>
            <w:lang w:val="en-GB"/>
          </w:rPr>
          <w:t>https://www.fda.gov/industry/create-esg-account/frequently-asked-questions</w:t>
        </w:r>
      </w:hyperlink>
    </w:p>
    <w:p w14:paraId="1872A2B8" w14:textId="77777777" w:rsidR="0027399F" w:rsidRPr="0027399F" w:rsidRDefault="0027399F" w:rsidP="0027399F">
      <w:pPr>
        <w:pBdr>
          <w:top w:val="nil"/>
          <w:left w:val="nil"/>
          <w:bottom w:val="nil"/>
          <w:right w:val="nil"/>
          <w:between w:val="nil"/>
        </w:pBdr>
        <w:spacing w:before="20" w:line="240" w:lineRule="auto"/>
        <w:ind w:hanging="2"/>
        <w:rPr>
          <w:rFonts w:eastAsia="Arial" w:cstheme="minorHAnsi"/>
          <w:color w:val="000000" w:themeColor="text1"/>
        </w:rPr>
      </w:pPr>
      <w:r w:rsidRPr="0027399F">
        <w:rPr>
          <w:rFonts w:eastAsia="Arial" w:cstheme="minorHAnsi"/>
          <w:color w:val="000000" w:themeColor="text1"/>
        </w:rPr>
        <w:t xml:space="preserve">[15] </w:t>
      </w:r>
      <w:hyperlink r:id="rId58">
        <w:r w:rsidRPr="0027399F">
          <w:rPr>
            <w:rStyle w:val="Hyperlink"/>
            <w:rFonts w:eastAsia="Arial" w:cstheme="minorHAnsi"/>
          </w:rPr>
          <w:t>https://www.npm.sg</w:t>
        </w:r>
      </w:hyperlink>
    </w:p>
    <w:p w14:paraId="00D9378D" w14:textId="77777777" w:rsidR="0027399F" w:rsidRPr="0027399F" w:rsidRDefault="0027399F" w:rsidP="0027399F">
      <w:pPr>
        <w:pBdr>
          <w:top w:val="nil"/>
          <w:left w:val="nil"/>
          <w:bottom w:val="nil"/>
          <w:right w:val="nil"/>
          <w:between w:val="nil"/>
        </w:pBdr>
        <w:spacing w:before="20" w:line="240" w:lineRule="auto"/>
        <w:ind w:hanging="2"/>
        <w:rPr>
          <w:rFonts w:eastAsia="Arial" w:cstheme="minorHAnsi"/>
          <w:color w:val="000000" w:themeColor="text1"/>
        </w:rPr>
      </w:pPr>
      <w:r w:rsidRPr="0027399F">
        <w:rPr>
          <w:rFonts w:eastAsia="Arial" w:cstheme="minorHAnsi"/>
          <w:color w:val="000000" w:themeColor="text1"/>
        </w:rPr>
        <w:t xml:space="preserve">[16] </w:t>
      </w:r>
      <w:hyperlink r:id="rId59">
        <w:r w:rsidRPr="0027399F">
          <w:rPr>
            <w:rStyle w:val="Hyperlink"/>
            <w:rFonts w:eastAsia="Arial" w:cstheme="minorHAnsi"/>
          </w:rPr>
          <w:t>https://genomecanada.ca/challenge-areas/canadian-precision-health-initiative/</w:t>
        </w:r>
      </w:hyperlink>
    </w:p>
    <w:p w14:paraId="2834D35F" w14:textId="77777777" w:rsidR="0027399F" w:rsidRPr="0027399F" w:rsidRDefault="0027399F" w:rsidP="0027399F">
      <w:pPr>
        <w:pStyle w:val="BodyText"/>
        <w:spacing w:before="0" w:after="0" w:line="240" w:lineRule="auto"/>
        <w:ind w:hanging="2"/>
        <w:rPr>
          <w:rFonts w:cstheme="minorHAnsi"/>
        </w:rPr>
      </w:pPr>
      <w:r w:rsidRPr="0027399F">
        <w:rPr>
          <w:rFonts w:cstheme="minorHAnsi"/>
        </w:rPr>
        <w:t xml:space="preserve">[17] </w:t>
      </w:r>
      <w:hyperlink r:id="rId60" w:history="1">
        <w:r w:rsidRPr="0027399F">
          <w:rPr>
            <w:rStyle w:val="Hyperlink"/>
            <w:rFonts w:cstheme="minorHAnsi"/>
          </w:rPr>
          <w:t>https://www.grandviewresearch.com/research-insights/middle-east-personalized-medicine-industry-insights</w:t>
        </w:r>
      </w:hyperlink>
    </w:p>
    <w:p w14:paraId="0D9DB15E" w14:textId="77777777" w:rsidR="0027399F" w:rsidRPr="0027399F" w:rsidRDefault="0027399F" w:rsidP="0027399F">
      <w:pPr>
        <w:spacing w:line="240" w:lineRule="auto"/>
        <w:ind w:left="2" w:hanging="2"/>
        <w:rPr>
          <w:rFonts w:eastAsia="Arial" w:cstheme="minorHAnsi"/>
          <w:color w:val="000000" w:themeColor="text1"/>
        </w:rPr>
      </w:pPr>
      <w:r w:rsidRPr="0027399F">
        <w:rPr>
          <w:rFonts w:eastAsia="Arial" w:cstheme="minorHAnsi"/>
          <w:color w:val="000000" w:themeColor="text1"/>
        </w:rPr>
        <w:t xml:space="preserve">[18] </w:t>
      </w:r>
      <w:hyperlink r:id="rId61" w:history="1">
        <w:r w:rsidRPr="0027399F">
          <w:rPr>
            <w:rStyle w:val="Hyperlink"/>
            <w:rFonts w:eastAsia="Arial" w:cstheme="minorHAnsi"/>
          </w:rPr>
          <w:t>https://www.federalregister.gov/documents/2020/07/22/2020-15771/electronic-submissions-data-standards-support-for-the-international-institute-of-electrical-and</w:t>
        </w:r>
      </w:hyperlink>
    </w:p>
    <w:p w14:paraId="75AA178F" w14:textId="77777777" w:rsidR="0027399F" w:rsidRPr="0027399F" w:rsidRDefault="0027399F" w:rsidP="0027399F">
      <w:pPr>
        <w:spacing w:line="240" w:lineRule="auto"/>
        <w:ind w:hanging="2"/>
        <w:rPr>
          <w:rFonts w:cstheme="minorHAnsi"/>
        </w:rPr>
      </w:pPr>
      <w:r w:rsidRPr="0027399F">
        <w:rPr>
          <w:rFonts w:eastAsia="Arial" w:cstheme="minorHAnsi"/>
          <w:color w:val="000000" w:themeColor="text1"/>
        </w:rPr>
        <w:t xml:space="preserve">[19] </w:t>
      </w:r>
      <w:hyperlink r:id="rId62" w:history="1">
        <w:r w:rsidRPr="0027399F">
          <w:rPr>
            <w:rStyle w:val="Hyperlink"/>
            <w:rFonts w:eastAsia="Arial" w:cstheme="minorHAnsi"/>
          </w:rPr>
          <w:t>https://opensource.ieee.org/2791-object/ieee-2791-schema/</w:t>
        </w:r>
      </w:hyperlink>
    </w:p>
    <w:p w14:paraId="1956B82F" w14:textId="77777777" w:rsidR="0027399F" w:rsidRPr="0027399F" w:rsidRDefault="0027399F" w:rsidP="0027399F">
      <w:pPr>
        <w:spacing w:line="240" w:lineRule="auto"/>
        <w:ind w:hanging="2"/>
        <w:rPr>
          <w:rFonts w:eastAsia="Arial" w:cstheme="minorHAnsi"/>
        </w:rPr>
      </w:pPr>
      <w:r w:rsidRPr="0027399F">
        <w:rPr>
          <w:rFonts w:eastAsia="Arial" w:cstheme="minorHAnsi"/>
        </w:rPr>
        <w:t xml:space="preserve">[20] </w:t>
      </w:r>
      <w:hyperlink r:id="rId63" w:history="1">
        <w:r w:rsidRPr="0027399F">
          <w:rPr>
            <w:rStyle w:val="Hyperlink"/>
            <w:rFonts w:eastAsia="Arial" w:cstheme="minorHAnsi"/>
          </w:rPr>
          <w:t>https://biocomputeobject.org/</w:t>
        </w:r>
      </w:hyperlink>
    </w:p>
    <w:p w14:paraId="2EE49C19" w14:textId="77777777" w:rsidR="0027399F" w:rsidRPr="0027399F" w:rsidRDefault="0027399F" w:rsidP="0027399F">
      <w:pPr>
        <w:spacing w:line="240" w:lineRule="auto"/>
        <w:ind w:hanging="2"/>
        <w:rPr>
          <w:rFonts w:cstheme="minorHAnsi"/>
        </w:rPr>
      </w:pPr>
      <w:r w:rsidRPr="0027399F">
        <w:rPr>
          <w:rFonts w:eastAsia="Arial" w:cstheme="minorHAnsi"/>
          <w:color w:val="000000" w:themeColor="text1"/>
        </w:rPr>
        <w:t xml:space="preserve">[21] </w:t>
      </w:r>
      <w:hyperlink r:id="rId64" w:history="1">
        <w:r w:rsidRPr="0027399F">
          <w:rPr>
            <w:rStyle w:val="Hyperlink"/>
            <w:rFonts w:eastAsia="Arial" w:cstheme="minorHAnsi"/>
          </w:rPr>
          <w:t>https://github.com/NovoNordisk-OpenSource/whirl/blob/main/R/biocompute.R</w:t>
        </w:r>
      </w:hyperlink>
    </w:p>
    <w:p w14:paraId="13452754" w14:textId="77777777" w:rsidR="0027399F" w:rsidRPr="0027399F" w:rsidRDefault="0027399F" w:rsidP="0027399F">
      <w:pPr>
        <w:ind w:hanging="2"/>
        <w:rPr>
          <w:rFonts w:cstheme="minorHAnsi"/>
        </w:rPr>
      </w:pPr>
      <w:r w:rsidRPr="0027399F">
        <w:rPr>
          <w:rFonts w:cstheme="minorHAnsi"/>
        </w:rPr>
        <w:lastRenderedPageBreak/>
        <w:t xml:space="preserve">[22] </w:t>
      </w:r>
      <w:hyperlink r:id="rId65" w:history="1">
        <w:r w:rsidRPr="0027399F">
          <w:rPr>
            <w:rStyle w:val="Hyperlink"/>
            <w:rFonts w:cstheme="minorHAnsi"/>
          </w:rPr>
          <w:t>https://cran.r-project.org/web/packages/biocompute/index.html</w:t>
        </w:r>
      </w:hyperlink>
    </w:p>
    <w:p w14:paraId="5F02767D" w14:textId="77777777" w:rsidR="0027399F" w:rsidRPr="0027399F" w:rsidRDefault="0027399F" w:rsidP="0027399F">
      <w:pPr>
        <w:ind w:hanging="2"/>
        <w:rPr>
          <w:rFonts w:cstheme="minorHAnsi"/>
        </w:rPr>
      </w:pPr>
      <w:r w:rsidRPr="0027399F">
        <w:rPr>
          <w:rFonts w:cstheme="minorHAnsi"/>
        </w:rPr>
        <w:t xml:space="preserve">[23] </w:t>
      </w:r>
      <w:hyperlink r:id="rId66" w:history="1">
        <w:r w:rsidRPr="0027399F">
          <w:rPr>
            <w:rStyle w:val="Hyperlink"/>
            <w:rFonts w:cstheme="minorHAnsi"/>
          </w:rPr>
          <w:t>https://20779781.fs1.hubspotusercontent-na1.net/hubfs/20779781/Webinar-Recordings/BCOnexus%20webinar%205-8-25.mp4</w:t>
        </w:r>
      </w:hyperlink>
    </w:p>
    <w:p w14:paraId="7C88835B" w14:textId="77777777" w:rsidR="0027399F" w:rsidRPr="0027399F" w:rsidRDefault="0027399F" w:rsidP="0027399F">
      <w:pPr>
        <w:ind w:hanging="2"/>
        <w:rPr>
          <w:rFonts w:cstheme="minorHAnsi"/>
          <w:color w:val="000000"/>
        </w:rPr>
      </w:pPr>
      <w:r w:rsidRPr="0027399F">
        <w:rPr>
          <w:rFonts w:cstheme="minorHAnsi"/>
        </w:rPr>
        <w:t xml:space="preserve">[24] </w:t>
      </w:r>
      <w:hyperlink r:id="rId67" w:history="1">
        <w:r w:rsidRPr="0027399F">
          <w:rPr>
            <w:rStyle w:val="Hyperlink"/>
            <w:rFonts w:cstheme="minorHAnsi"/>
          </w:rPr>
          <w:t>https://info.velsera.com/unlocking-biocompute-objects-advancing-interoperability-and-regulatory-excellence-ondemand</w:t>
        </w:r>
      </w:hyperlink>
    </w:p>
    <w:p w14:paraId="1C24341F" w14:textId="77777777" w:rsidR="0027399F" w:rsidRPr="0027399F" w:rsidRDefault="0027399F" w:rsidP="0027399F">
      <w:pPr>
        <w:spacing w:line="240" w:lineRule="auto"/>
        <w:ind w:left="2" w:hanging="2"/>
        <w:rPr>
          <w:rFonts w:eastAsia="Arial" w:cstheme="minorHAnsi"/>
          <w:color w:val="000000" w:themeColor="text1"/>
        </w:rPr>
      </w:pPr>
      <w:r w:rsidRPr="0027399F">
        <w:rPr>
          <w:rFonts w:eastAsia="Arial" w:cstheme="minorHAnsi"/>
          <w:color w:val="000000" w:themeColor="text1"/>
        </w:rPr>
        <w:t xml:space="preserve">[25] </w:t>
      </w:r>
      <w:hyperlink r:id="rId68" w:history="1">
        <w:r w:rsidRPr="0027399F">
          <w:rPr>
            <w:rStyle w:val="Hyperlink"/>
            <w:rFonts w:eastAsia="Arial" w:cstheme="minorHAnsi"/>
          </w:rPr>
          <w:t>https://github.com/nextflow-io/nf-prov</w:t>
        </w:r>
      </w:hyperlink>
    </w:p>
    <w:p w14:paraId="33F038B1" w14:textId="77777777" w:rsidR="0027399F" w:rsidRPr="0027399F" w:rsidRDefault="0027399F" w:rsidP="0027399F">
      <w:pPr>
        <w:spacing w:line="240" w:lineRule="auto"/>
        <w:ind w:left="2" w:hanging="2"/>
        <w:rPr>
          <w:rFonts w:eastAsia="Arial" w:cstheme="minorHAnsi"/>
          <w:color w:val="000000" w:themeColor="text1"/>
        </w:rPr>
      </w:pPr>
      <w:r w:rsidRPr="0027399F">
        <w:rPr>
          <w:rFonts w:eastAsia="Arial" w:cstheme="minorHAnsi"/>
          <w:color w:val="000000" w:themeColor="text1"/>
        </w:rPr>
        <w:t xml:space="preserve">[26] </w:t>
      </w:r>
      <w:hyperlink r:id="rId69" w:history="1">
        <w:r w:rsidRPr="0027399F">
          <w:rPr>
            <w:rStyle w:val="Hyperlink"/>
            <w:rFonts w:eastAsia="Arial" w:cstheme="minorHAnsi"/>
          </w:rPr>
          <w:t>https://biocompute-objects.github.io/bco-rag/</w:t>
        </w:r>
      </w:hyperlink>
    </w:p>
    <w:p w14:paraId="21BBB751" w14:textId="77777777" w:rsidR="0027399F" w:rsidRPr="0027399F" w:rsidRDefault="0027399F" w:rsidP="0027399F">
      <w:pPr>
        <w:spacing w:line="240" w:lineRule="auto"/>
        <w:ind w:left="2" w:hanging="2"/>
        <w:rPr>
          <w:rFonts w:eastAsia="Arial" w:cstheme="minorHAnsi"/>
          <w:color w:val="000000" w:themeColor="text1"/>
        </w:rPr>
      </w:pPr>
      <w:r w:rsidRPr="0027399F">
        <w:rPr>
          <w:rFonts w:eastAsia="Arial" w:cstheme="minorHAnsi"/>
          <w:color w:val="000000" w:themeColor="text1"/>
        </w:rPr>
        <w:t xml:space="preserve">[27] </w:t>
      </w:r>
      <w:hyperlink r:id="rId70" w:history="1">
        <w:r w:rsidRPr="0027399F">
          <w:rPr>
            <w:rStyle w:val="Hyperlink"/>
            <w:rFonts w:eastAsia="Arial" w:cstheme="minorHAnsi"/>
          </w:rPr>
          <w:t>https://doi.org/10.1038/nmeth.3252</w:t>
        </w:r>
      </w:hyperlink>
    </w:p>
    <w:p w14:paraId="3974702C" w14:textId="77777777" w:rsidR="0027399F" w:rsidRDefault="0027399F" w:rsidP="0027399F">
      <w:pPr>
        <w:spacing w:line="240" w:lineRule="auto"/>
        <w:ind w:left="2" w:hanging="2"/>
      </w:pPr>
      <w:r w:rsidRPr="0027399F">
        <w:rPr>
          <w:rFonts w:eastAsia="Arial" w:cstheme="minorHAnsi"/>
          <w:color w:val="000000" w:themeColor="text1"/>
        </w:rPr>
        <w:t xml:space="preserve">[28] </w:t>
      </w:r>
      <w:hyperlink r:id="rId71" w:history="1">
        <w:r w:rsidRPr="0027399F">
          <w:rPr>
            <w:rStyle w:val="Hyperlink"/>
            <w:rFonts w:eastAsia="Arial" w:cstheme="minorHAnsi"/>
          </w:rPr>
          <w:t>https://doi.org/10.1158/0008-5472.can-17-0344</w:t>
        </w:r>
      </w:hyperlink>
    </w:p>
    <w:p w14:paraId="5EE74B7F" w14:textId="517D9C1B" w:rsidR="0016461C" w:rsidRPr="0027399F" w:rsidRDefault="0016461C" w:rsidP="0027399F">
      <w:pPr>
        <w:spacing w:line="240" w:lineRule="auto"/>
        <w:ind w:left="2" w:hanging="2"/>
        <w:rPr>
          <w:rFonts w:eastAsia="Arial" w:cstheme="minorHAnsi"/>
          <w:color w:val="000000" w:themeColor="text1"/>
        </w:rPr>
      </w:pPr>
      <w:r>
        <w:t>[29] PHUSE</w:t>
      </w:r>
      <w:r w:rsidR="00287546">
        <w:t xml:space="preserve"> Whitepaper posted for Public Review – Capturing Computational Workflows in Clinical Trials with BioCompute</w:t>
      </w:r>
    </w:p>
    <w:p w14:paraId="5E151E58" w14:textId="12CC735A" w:rsidR="00DA5326" w:rsidRPr="0027399F" w:rsidRDefault="0027399F" w:rsidP="0027399F">
      <w:pPr>
        <w:spacing w:line="240" w:lineRule="auto"/>
        <w:rPr>
          <w:rFonts w:eastAsia="Arial" w:cstheme="minorHAnsi"/>
          <w:b/>
          <w:bCs/>
          <w:smallCaps/>
          <w:color w:val="000000" w:themeColor="text1"/>
        </w:rPr>
      </w:pPr>
      <w:r w:rsidRPr="0027399F">
        <w:rPr>
          <w:rFonts w:eastAsia="Arial" w:cstheme="minorHAnsi"/>
          <w:b/>
          <w:bCs/>
          <w:smallCaps/>
          <w:color w:val="000000" w:themeColor="text1"/>
        </w:rPr>
        <w:br w:type="page"/>
      </w:r>
    </w:p>
    <w:p w14:paraId="6B39F56D" w14:textId="7D49604D" w:rsidR="00DA5326" w:rsidRPr="0027399F" w:rsidRDefault="00467F52" w:rsidP="00DA5326">
      <w:pPr>
        <w:pStyle w:val="Heading1"/>
        <w:rPr>
          <w:rFonts w:asciiTheme="minorHAnsi" w:hAnsiTheme="minorHAnsi" w:cstheme="minorHAnsi"/>
        </w:rPr>
      </w:pPr>
      <w:bookmarkStart w:id="9" w:name="_Toc93493882"/>
      <w:r w:rsidRPr="0027399F">
        <w:rPr>
          <w:rFonts w:asciiTheme="minorHAnsi" w:hAnsiTheme="minorHAnsi" w:cstheme="minorHAnsi"/>
        </w:rPr>
        <w:lastRenderedPageBreak/>
        <w:t>1</w:t>
      </w:r>
      <w:r w:rsidR="0027399F" w:rsidRPr="0027399F">
        <w:rPr>
          <w:rFonts w:asciiTheme="minorHAnsi" w:hAnsiTheme="minorHAnsi" w:cstheme="minorHAnsi"/>
        </w:rPr>
        <w:t>1</w:t>
      </w:r>
      <w:r w:rsidR="00303464" w:rsidRPr="0027399F">
        <w:rPr>
          <w:rFonts w:asciiTheme="minorHAnsi" w:hAnsiTheme="minorHAnsi" w:cstheme="minorHAnsi"/>
        </w:rPr>
        <w:t xml:space="preserve">: </w:t>
      </w:r>
      <w:r w:rsidR="00DA5326" w:rsidRPr="0027399F">
        <w:rPr>
          <w:rFonts w:asciiTheme="minorHAnsi" w:hAnsiTheme="minorHAnsi" w:cstheme="minorHAnsi"/>
        </w:rPr>
        <w:t>Project Contact Information:</w:t>
      </w:r>
      <w:bookmarkEnd w:id="9"/>
    </w:p>
    <w:p w14:paraId="15955647" w14:textId="77777777" w:rsidR="0027399F" w:rsidRPr="0027399F" w:rsidRDefault="0027399F" w:rsidP="0027399F">
      <w:pPr>
        <w:widowControl/>
        <w:pBdr>
          <w:top w:val="nil"/>
          <w:left w:val="nil"/>
          <w:bottom w:val="nil"/>
          <w:right w:val="nil"/>
          <w:between w:val="nil"/>
        </w:pBdr>
        <w:spacing w:before="20" w:line="240" w:lineRule="auto"/>
        <w:ind w:hanging="2"/>
        <w:rPr>
          <w:rFonts w:eastAsia="Arial" w:cstheme="minorHAnsi"/>
          <w:color w:val="000000" w:themeColor="text1"/>
        </w:rPr>
      </w:pPr>
      <w:bookmarkStart w:id="10" w:name="_Toc93493883"/>
    </w:p>
    <w:p w14:paraId="1D1BA169" w14:textId="77777777" w:rsidR="0027399F" w:rsidRPr="0027399F" w:rsidRDefault="0027399F" w:rsidP="0027399F">
      <w:pPr>
        <w:widowControl/>
        <w:pBdr>
          <w:top w:val="nil"/>
          <w:left w:val="nil"/>
          <w:bottom w:val="nil"/>
          <w:right w:val="nil"/>
          <w:between w:val="nil"/>
        </w:pBdr>
        <w:spacing w:before="20" w:line="240" w:lineRule="auto"/>
        <w:ind w:hanging="2"/>
        <w:rPr>
          <w:rFonts w:eastAsia="Arial" w:cstheme="minorHAnsi"/>
          <w:color w:val="000000"/>
        </w:rPr>
      </w:pPr>
      <w:r w:rsidRPr="0027399F">
        <w:rPr>
          <w:rFonts w:eastAsia="Arial" w:cstheme="minorHAnsi"/>
          <w:color w:val="000000" w:themeColor="text1"/>
        </w:rPr>
        <w:t>Your comments and questions are valued and encouraged.</w:t>
      </w:r>
    </w:p>
    <w:p w14:paraId="480BF4CA" w14:textId="77777777" w:rsidR="0027399F" w:rsidRPr="0027399F" w:rsidRDefault="0027399F" w:rsidP="0027399F">
      <w:pPr>
        <w:widowControl/>
        <w:pBdr>
          <w:top w:val="nil"/>
          <w:left w:val="nil"/>
          <w:bottom w:val="nil"/>
          <w:right w:val="nil"/>
          <w:between w:val="nil"/>
        </w:pBdr>
        <w:spacing w:before="20" w:line="240" w:lineRule="auto"/>
        <w:ind w:hanging="2"/>
        <w:rPr>
          <w:rFonts w:eastAsia="Arial" w:cstheme="minorHAnsi"/>
          <w:color w:val="000000" w:themeColor="text1"/>
        </w:rPr>
      </w:pPr>
    </w:p>
    <w:p w14:paraId="0DBAB357" w14:textId="77777777" w:rsidR="0027399F" w:rsidRPr="0027399F" w:rsidRDefault="0027399F" w:rsidP="0027399F">
      <w:pPr>
        <w:widowControl/>
        <w:pBdr>
          <w:top w:val="nil"/>
          <w:left w:val="nil"/>
          <w:bottom w:val="nil"/>
          <w:right w:val="nil"/>
          <w:between w:val="nil"/>
        </w:pBdr>
        <w:spacing w:before="20" w:line="240" w:lineRule="auto"/>
        <w:ind w:hanging="2"/>
        <w:rPr>
          <w:rFonts w:eastAsia="Arial" w:cstheme="minorHAnsi"/>
          <w:b/>
          <w:bCs/>
          <w:color w:val="000000" w:themeColor="text1"/>
        </w:rPr>
      </w:pPr>
      <w:r w:rsidRPr="0027399F">
        <w:rPr>
          <w:rFonts w:eastAsia="Arial" w:cstheme="minorHAnsi"/>
          <w:color w:val="000000" w:themeColor="text1"/>
        </w:rPr>
        <w:t xml:space="preserve">Author Name: </w:t>
      </w:r>
      <w:r w:rsidRPr="0027399F">
        <w:rPr>
          <w:rFonts w:eastAsia="Arial" w:cstheme="minorHAnsi"/>
          <w:b/>
          <w:bCs/>
          <w:color w:val="000000" w:themeColor="text1"/>
        </w:rPr>
        <w:t>Mehdi Harek</w:t>
      </w:r>
    </w:p>
    <w:p w14:paraId="4E7ECECC" w14:textId="77777777" w:rsidR="0027399F" w:rsidRPr="0027399F" w:rsidRDefault="0027399F" w:rsidP="0027399F">
      <w:pPr>
        <w:widowControl/>
        <w:pBdr>
          <w:top w:val="nil"/>
          <w:left w:val="nil"/>
          <w:bottom w:val="nil"/>
          <w:right w:val="nil"/>
          <w:between w:val="nil"/>
        </w:pBdr>
        <w:spacing w:before="20" w:line="240" w:lineRule="auto"/>
        <w:ind w:hanging="2"/>
        <w:rPr>
          <w:rFonts w:eastAsia="Arial" w:cstheme="minorHAnsi"/>
          <w:color w:val="000000"/>
        </w:rPr>
      </w:pPr>
      <w:r w:rsidRPr="0027399F">
        <w:rPr>
          <w:rFonts w:eastAsia="Arial" w:cstheme="minorHAnsi"/>
          <w:color w:val="000000" w:themeColor="text1"/>
        </w:rPr>
        <w:t>Company: Bristol Myers Squibb</w:t>
      </w:r>
    </w:p>
    <w:p w14:paraId="71D038CE" w14:textId="77777777" w:rsidR="0027399F" w:rsidRPr="0027399F" w:rsidRDefault="0027399F" w:rsidP="0027399F">
      <w:pPr>
        <w:widowControl/>
        <w:pBdr>
          <w:top w:val="nil"/>
          <w:left w:val="nil"/>
          <w:bottom w:val="nil"/>
          <w:right w:val="nil"/>
          <w:between w:val="nil"/>
        </w:pBdr>
        <w:spacing w:before="20" w:line="240" w:lineRule="auto"/>
        <w:ind w:hanging="2"/>
        <w:rPr>
          <w:rFonts w:eastAsia="Arial" w:cstheme="minorHAnsi"/>
          <w:color w:val="000000"/>
        </w:rPr>
      </w:pPr>
      <w:r w:rsidRPr="0027399F">
        <w:rPr>
          <w:rFonts w:eastAsia="Arial" w:cstheme="minorHAnsi"/>
          <w:color w:val="000000" w:themeColor="text1"/>
        </w:rPr>
        <w:t>Email</w:t>
      </w:r>
      <w:r w:rsidRPr="0027399F">
        <w:rPr>
          <w:rFonts w:eastAsia="Arial" w:cstheme="minorHAnsi"/>
        </w:rPr>
        <w:t xml:space="preserve">: </w:t>
      </w:r>
      <w:hyperlink r:id="rId72">
        <w:r w:rsidRPr="0027399F">
          <w:rPr>
            <w:rStyle w:val="Hyperlink"/>
            <w:rFonts w:eastAsia="Arial" w:cstheme="minorHAnsi"/>
          </w:rPr>
          <w:t>mehdi.harek@bms.com</w:t>
        </w:r>
      </w:hyperlink>
      <w:r w:rsidRPr="0027399F">
        <w:rPr>
          <w:rFonts w:eastAsia="Arial" w:cstheme="minorHAnsi"/>
        </w:rPr>
        <w:t xml:space="preserve"> - harek.mehdi@gmail.com</w:t>
      </w:r>
    </w:p>
    <w:p w14:paraId="5C2028BA" w14:textId="77777777" w:rsidR="0027399F" w:rsidRPr="0027399F" w:rsidRDefault="0027399F" w:rsidP="0027399F">
      <w:pPr>
        <w:widowControl/>
        <w:pBdr>
          <w:top w:val="nil"/>
          <w:left w:val="nil"/>
          <w:bottom w:val="nil"/>
          <w:right w:val="nil"/>
          <w:between w:val="nil"/>
        </w:pBdr>
        <w:spacing w:before="20" w:line="240" w:lineRule="auto"/>
        <w:ind w:hanging="2"/>
        <w:rPr>
          <w:rFonts w:eastAsia="Arial" w:cstheme="minorHAnsi"/>
          <w:color w:val="000000"/>
        </w:rPr>
      </w:pPr>
    </w:p>
    <w:p w14:paraId="58C74501" w14:textId="77777777" w:rsidR="0027399F" w:rsidRPr="0027399F" w:rsidRDefault="0027399F" w:rsidP="0027399F">
      <w:pPr>
        <w:widowControl/>
        <w:pBdr>
          <w:top w:val="nil"/>
          <w:left w:val="nil"/>
          <w:bottom w:val="nil"/>
          <w:right w:val="nil"/>
          <w:between w:val="nil"/>
        </w:pBdr>
        <w:spacing w:before="20" w:line="240" w:lineRule="auto"/>
        <w:ind w:hanging="2"/>
        <w:rPr>
          <w:rFonts w:eastAsia="Arial" w:cstheme="minorHAnsi"/>
          <w:b/>
          <w:bCs/>
          <w:color w:val="000000" w:themeColor="text1"/>
        </w:rPr>
      </w:pPr>
      <w:r w:rsidRPr="0027399F">
        <w:rPr>
          <w:rFonts w:eastAsia="Arial" w:cstheme="minorHAnsi"/>
          <w:color w:val="000000" w:themeColor="text1"/>
        </w:rPr>
        <w:t xml:space="preserve">Author Name: </w:t>
      </w:r>
      <w:r w:rsidRPr="0027399F">
        <w:rPr>
          <w:rFonts w:eastAsia="Arial" w:cstheme="minorHAnsi"/>
          <w:b/>
          <w:bCs/>
          <w:color w:val="000000" w:themeColor="text1"/>
        </w:rPr>
        <w:t>Jonathon Keeney</w:t>
      </w:r>
    </w:p>
    <w:p w14:paraId="6FAF249B" w14:textId="77777777" w:rsidR="0027399F" w:rsidRPr="0027399F" w:rsidRDefault="0027399F" w:rsidP="0027399F">
      <w:pPr>
        <w:widowControl/>
        <w:pBdr>
          <w:top w:val="nil"/>
          <w:left w:val="nil"/>
          <w:bottom w:val="nil"/>
          <w:right w:val="nil"/>
          <w:between w:val="nil"/>
        </w:pBdr>
        <w:spacing w:before="20" w:line="240" w:lineRule="auto"/>
        <w:ind w:hanging="2"/>
        <w:rPr>
          <w:rFonts w:eastAsia="Arial" w:cstheme="minorHAnsi"/>
          <w:color w:val="000000" w:themeColor="text1"/>
        </w:rPr>
      </w:pPr>
      <w:r w:rsidRPr="0027399F">
        <w:rPr>
          <w:rFonts w:eastAsia="Arial" w:cstheme="minorHAnsi"/>
          <w:color w:val="000000" w:themeColor="text1"/>
        </w:rPr>
        <w:t>Company: Georges Washington University</w:t>
      </w:r>
    </w:p>
    <w:p w14:paraId="2D1C4812" w14:textId="77777777" w:rsidR="0027399F" w:rsidRPr="0027399F" w:rsidRDefault="0027399F" w:rsidP="0027399F">
      <w:pPr>
        <w:widowControl/>
        <w:pBdr>
          <w:top w:val="nil"/>
          <w:left w:val="nil"/>
          <w:bottom w:val="nil"/>
          <w:right w:val="nil"/>
          <w:between w:val="nil"/>
        </w:pBdr>
        <w:spacing w:before="20" w:line="240" w:lineRule="auto"/>
        <w:ind w:hanging="2"/>
        <w:rPr>
          <w:rFonts w:eastAsia="Arial" w:cstheme="minorHAnsi"/>
          <w:color w:val="000000" w:themeColor="text1"/>
        </w:rPr>
      </w:pPr>
      <w:r w:rsidRPr="0027399F">
        <w:rPr>
          <w:rFonts w:eastAsia="Arial" w:cstheme="minorHAnsi"/>
          <w:color w:val="000000" w:themeColor="text1"/>
        </w:rPr>
        <w:t>Email</w:t>
      </w:r>
      <w:r w:rsidRPr="0027399F">
        <w:rPr>
          <w:rFonts w:eastAsia="Arial" w:cstheme="minorHAnsi"/>
        </w:rPr>
        <w:t xml:space="preserve">: </w:t>
      </w:r>
      <w:hyperlink r:id="rId73">
        <w:r w:rsidRPr="0027399F">
          <w:rPr>
            <w:rStyle w:val="Hyperlink"/>
            <w:rFonts w:eastAsia="Arial" w:cstheme="minorHAnsi"/>
            <w:lang w:val="en-GB"/>
          </w:rPr>
          <w:t>keeneyjg@gwu.edu</w:t>
        </w:r>
      </w:hyperlink>
    </w:p>
    <w:p w14:paraId="31059476" w14:textId="77777777" w:rsidR="0027399F" w:rsidRPr="0027399F" w:rsidRDefault="0027399F" w:rsidP="0027399F">
      <w:pPr>
        <w:widowControl/>
        <w:pBdr>
          <w:top w:val="nil"/>
          <w:left w:val="nil"/>
          <w:bottom w:val="nil"/>
          <w:right w:val="nil"/>
          <w:between w:val="nil"/>
        </w:pBdr>
        <w:spacing w:before="20" w:line="240" w:lineRule="auto"/>
        <w:ind w:hanging="2"/>
        <w:rPr>
          <w:rFonts w:eastAsia="Arial" w:cstheme="minorHAnsi"/>
          <w:color w:val="000000" w:themeColor="text1"/>
        </w:rPr>
      </w:pPr>
    </w:p>
    <w:p w14:paraId="3E1D3601" w14:textId="77777777" w:rsidR="0027399F" w:rsidRPr="0027399F" w:rsidRDefault="0027399F" w:rsidP="0027399F">
      <w:pPr>
        <w:widowControl/>
        <w:pBdr>
          <w:top w:val="nil"/>
          <w:left w:val="nil"/>
          <w:bottom w:val="nil"/>
          <w:right w:val="nil"/>
          <w:between w:val="nil"/>
        </w:pBdr>
        <w:spacing w:before="20" w:line="240" w:lineRule="auto"/>
        <w:ind w:hanging="2"/>
        <w:rPr>
          <w:rFonts w:eastAsia="Arial" w:cstheme="minorHAnsi"/>
          <w:b/>
          <w:bCs/>
          <w:lang w:val="en-GB"/>
        </w:rPr>
      </w:pPr>
      <w:r w:rsidRPr="0027399F">
        <w:rPr>
          <w:rFonts w:eastAsia="Arial" w:cstheme="minorHAnsi"/>
          <w:color w:val="000000" w:themeColor="text1"/>
        </w:rPr>
        <w:t xml:space="preserve">Author Name: </w:t>
      </w:r>
      <w:r w:rsidRPr="0027399F">
        <w:rPr>
          <w:rFonts w:eastAsia="Arial" w:cstheme="minorHAnsi"/>
          <w:b/>
          <w:bCs/>
          <w:color w:val="000000" w:themeColor="text1"/>
          <w:lang w:val="en-GB"/>
        </w:rPr>
        <w:t>Bron Kisler</w:t>
      </w:r>
    </w:p>
    <w:p w14:paraId="01AD949E" w14:textId="77777777" w:rsidR="0027399F" w:rsidRPr="0027399F" w:rsidRDefault="0027399F" w:rsidP="0027399F">
      <w:pPr>
        <w:widowControl/>
        <w:pBdr>
          <w:top w:val="nil"/>
          <w:left w:val="nil"/>
          <w:bottom w:val="nil"/>
          <w:right w:val="nil"/>
          <w:between w:val="nil"/>
        </w:pBdr>
        <w:spacing w:before="20" w:line="240" w:lineRule="auto"/>
        <w:ind w:hanging="2"/>
        <w:rPr>
          <w:rFonts w:eastAsia="Arial" w:cstheme="minorHAnsi"/>
        </w:rPr>
      </w:pPr>
      <w:r w:rsidRPr="0027399F">
        <w:rPr>
          <w:rFonts w:eastAsia="Arial" w:cstheme="minorHAnsi"/>
          <w:color w:val="000000" w:themeColor="text1"/>
        </w:rPr>
        <w:t>Company: Representing International Standards Organization</w:t>
      </w:r>
    </w:p>
    <w:p w14:paraId="7B2B131D" w14:textId="77777777" w:rsidR="0027399F" w:rsidRPr="0027399F" w:rsidRDefault="0027399F" w:rsidP="0027399F">
      <w:pPr>
        <w:widowControl/>
        <w:pBdr>
          <w:top w:val="nil"/>
          <w:left w:val="nil"/>
          <w:bottom w:val="nil"/>
          <w:right w:val="nil"/>
          <w:between w:val="nil"/>
        </w:pBdr>
        <w:spacing w:before="20" w:line="240" w:lineRule="auto"/>
        <w:ind w:hanging="2"/>
        <w:rPr>
          <w:rFonts w:eastAsia="Arial" w:cstheme="minorHAnsi"/>
          <w:color w:val="000000" w:themeColor="text1"/>
        </w:rPr>
      </w:pPr>
      <w:r w:rsidRPr="0027399F">
        <w:rPr>
          <w:rFonts w:eastAsia="Arial" w:cstheme="minorHAnsi"/>
          <w:color w:val="000000" w:themeColor="text1"/>
        </w:rPr>
        <w:t>Email</w:t>
      </w:r>
      <w:r w:rsidRPr="0027399F">
        <w:rPr>
          <w:rFonts w:eastAsia="Arial" w:cstheme="minorHAnsi"/>
        </w:rPr>
        <w:t xml:space="preserve">: </w:t>
      </w:r>
      <w:hyperlink r:id="rId74">
        <w:r w:rsidRPr="0027399F">
          <w:rPr>
            <w:rStyle w:val="Hyperlink"/>
            <w:rFonts w:eastAsia="Arial" w:cstheme="minorHAnsi"/>
            <w:lang w:val="en-GB"/>
          </w:rPr>
          <w:t>bronkisler@icloud.com</w:t>
        </w:r>
      </w:hyperlink>
    </w:p>
    <w:p w14:paraId="3E8935B3" w14:textId="77777777" w:rsidR="0027399F" w:rsidRPr="0027399F" w:rsidRDefault="0027399F" w:rsidP="0027399F">
      <w:pPr>
        <w:widowControl/>
        <w:pBdr>
          <w:top w:val="nil"/>
          <w:left w:val="nil"/>
          <w:bottom w:val="nil"/>
          <w:right w:val="nil"/>
          <w:between w:val="nil"/>
        </w:pBdr>
        <w:spacing w:before="20" w:line="240" w:lineRule="auto"/>
        <w:ind w:hanging="2"/>
        <w:rPr>
          <w:rFonts w:eastAsia="Arial" w:cstheme="minorHAnsi"/>
          <w:color w:val="000000" w:themeColor="text1"/>
        </w:rPr>
      </w:pPr>
    </w:p>
    <w:p w14:paraId="30DDEFAA" w14:textId="77777777" w:rsidR="0027399F" w:rsidRPr="0027399F" w:rsidRDefault="0027399F" w:rsidP="0027399F">
      <w:pPr>
        <w:widowControl/>
        <w:pBdr>
          <w:top w:val="nil"/>
          <w:left w:val="nil"/>
          <w:bottom w:val="nil"/>
          <w:right w:val="nil"/>
          <w:between w:val="nil"/>
        </w:pBdr>
        <w:spacing w:before="20" w:line="240" w:lineRule="auto"/>
        <w:ind w:hanging="2"/>
        <w:rPr>
          <w:rFonts w:eastAsia="Arial" w:cstheme="minorHAnsi"/>
          <w:lang w:val="en-GB"/>
        </w:rPr>
      </w:pPr>
      <w:r w:rsidRPr="0027399F">
        <w:rPr>
          <w:rFonts w:eastAsia="Arial" w:cstheme="minorHAnsi"/>
          <w:color w:val="000000" w:themeColor="text1"/>
        </w:rPr>
        <w:t xml:space="preserve">Author Name: </w:t>
      </w:r>
      <w:r w:rsidRPr="0027399F">
        <w:rPr>
          <w:rFonts w:eastAsia="Arial" w:cstheme="minorHAnsi"/>
          <w:b/>
          <w:bCs/>
          <w:color w:val="000000" w:themeColor="text1"/>
          <w:lang w:val="en-GB"/>
        </w:rPr>
        <w:t>Adrian Czaban</w:t>
      </w:r>
    </w:p>
    <w:p w14:paraId="4D402C37" w14:textId="77777777" w:rsidR="0027399F" w:rsidRPr="0027399F" w:rsidRDefault="0027399F" w:rsidP="0027399F">
      <w:pPr>
        <w:widowControl/>
        <w:pBdr>
          <w:top w:val="nil"/>
          <w:left w:val="nil"/>
          <w:bottom w:val="nil"/>
          <w:right w:val="nil"/>
          <w:between w:val="nil"/>
        </w:pBdr>
        <w:spacing w:before="20" w:line="240" w:lineRule="auto"/>
        <w:ind w:hanging="2"/>
        <w:rPr>
          <w:rFonts w:eastAsia="Arial" w:cstheme="minorHAnsi"/>
          <w:color w:val="000000" w:themeColor="text1"/>
        </w:rPr>
      </w:pPr>
      <w:r w:rsidRPr="0027399F">
        <w:rPr>
          <w:rFonts w:eastAsia="Arial" w:cstheme="minorHAnsi"/>
          <w:color w:val="000000" w:themeColor="text1"/>
        </w:rPr>
        <w:t>Company: Novo Nordisk</w:t>
      </w:r>
    </w:p>
    <w:p w14:paraId="31ED238E" w14:textId="77777777" w:rsidR="0027399F" w:rsidRPr="0027399F" w:rsidRDefault="0027399F" w:rsidP="0027399F">
      <w:pPr>
        <w:widowControl/>
        <w:pBdr>
          <w:top w:val="nil"/>
          <w:left w:val="nil"/>
          <w:bottom w:val="nil"/>
          <w:right w:val="nil"/>
          <w:between w:val="nil"/>
        </w:pBdr>
        <w:spacing w:before="20" w:line="240" w:lineRule="auto"/>
        <w:ind w:hanging="2"/>
        <w:rPr>
          <w:rFonts w:eastAsia="Arial" w:cstheme="minorHAnsi"/>
          <w:color w:val="000000" w:themeColor="text1"/>
        </w:rPr>
      </w:pPr>
      <w:r w:rsidRPr="0027399F">
        <w:rPr>
          <w:rFonts w:eastAsia="Arial" w:cstheme="minorHAnsi"/>
          <w:color w:val="000000" w:themeColor="text1"/>
        </w:rPr>
        <w:t>Email</w:t>
      </w:r>
      <w:r w:rsidRPr="0027399F">
        <w:rPr>
          <w:rFonts w:eastAsia="Arial" w:cstheme="minorHAnsi"/>
        </w:rPr>
        <w:t xml:space="preserve">: </w:t>
      </w:r>
      <w:r w:rsidRPr="0027399F">
        <w:rPr>
          <w:rFonts w:eastAsia="Arial" w:cstheme="minorHAnsi"/>
          <w:color w:val="0000FF"/>
          <w:u w:val="single"/>
        </w:rPr>
        <w:t>adcz@novonordisk.com</w:t>
      </w:r>
    </w:p>
    <w:p w14:paraId="7179D5CD" w14:textId="77777777" w:rsidR="0027399F" w:rsidRPr="0027399F" w:rsidRDefault="0027399F" w:rsidP="0027399F">
      <w:pPr>
        <w:widowControl/>
        <w:pBdr>
          <w:top w:val="nil"/>
          <w:left w:val="nil"/>
          <w:bottom w:val="nil"/>
          <w:right w:val="nil"/>
          <w:between w:val="nil"/>
        </w:pBdr>
        <w:spacing w:before="20" w:line="240" w:lineRule="auto"/>
        <w:rPr>
          <w:rFonts w:eastAsia="Arial" w:cstheme="minorHAnsi"/>
          <w:color w:val="000000" w:themeColor="text1"/>
        </w:rPr>
      </w:pPr>
    </w:p>
    <w:p w14:paraId="6A0C03CB" w14:textId="77777777" w:rsidR="0027399F" w:rsidRPr="0027399F" w:rsidRDefault="0027399F" w:rsidP="0027399F">
      <w:pPr>
        <w:widowControl/>
        <w:pBdr>
          <w:top w:val="nil"/>
          <w:left w:val="nil"/>
          <w:bottom w:val="nil"/>
          <w:right w:val="nil"/>
          <w:between w:val="nil"/>
        </w:pBdr>
        <w:spacing w:before="20" w:line="240" w:lineRule="auto"/>
        <w:ind w:hanging="2"/>
        <w:rPr>
          <w:rFonts w:eastAsia="Arial" w:cstheme="minorHAnsi"/>
          <w:lang w:val="en-GB"/>
        </w:rPr>
      </w:pPr>
      <w:r w:rsidRPr="0027399F">
        <w:rPr>
          <w:rFonts w:eastAsia="Arial" w:cstheme="minorHAnsi"/>
          <w:color w:val="000000" w:themeColor="text1"/>
        </w:rPr>
        <w:t xml:space="preserve">Author Name: </w:t>
      </w:r>
      <w:r w:rsidRPr="0027399F">
        <w:rPr>
          <w:rFonts w:eastAsia="Arial" w:cstheme="minorHAnsi"/>
          <w:b/>
          <w:bCs/>
          <w:color w:val="000000" w:themeColor="text1"/>
          <w:lang w:val="en-GB"/>
        </w:rPr>
        <w:t xml:space="preserve">Ashwini </w:t>
      </w:r>
      <w:proofErr w:type="spellStart"/>
      <w:r w:rsidRPr="0027399F">
        <w:rPr>
          <w:rFonts w:eastAsia="Arial" w:cstheme="minorHAnsi"/>
          <w:b/>
          <w:bCs/>
          <w:color w:val="000000" w:themeColor="text1"/>
          <w:lang w:val="en-GB"/>
        </w:rPr>
        <w:t>Yermal</w:t>
      </w:r>
      <w:proofErr w:type="spellEnd"/>
      <w:r w:rsidRPr="0027399F">
        <w:rPr>
          <w:rFonts w:eastAsia="Arial" w:cstheme="minorHAnsi"/>
          <w:b/>
          <w:bCs/>
          <w:color w:val="000000" w:themeColor="text1"/>
          <w:lang w:val="en-GB"/>
        </w:rPr>
        <w:t xml:space="preserve"> </w:t>
      </w:r>
      <w:proofErr w:type="spellStart"/>
      <w:r w:rsidRPr="0027399F">
        <w:rPr>
          <w:rFonts w:eastAsia="Arial" w:cstheme="minorHAnsi"/>
          <w:b/>
          <w:bCs/>
          <w:color w:val="000000" w:themeColor="text1"/>
          <w:lang w:val="en-GB"/>
        </w:rPr>
        <w:t>Shanbhogue</w:t>
      </w:r>
      <w:proofErr w:type="spellEnd"/>
    </w:p>
    <w:p w14:paraId="69FA795B" w14:textId="77777777" w:rsidR="0027399F" w:rsidRPr="0027399F" w:rsidRDefault="0027399F" w:rsidP="0027399F">
      <w:pPr>
        <w:widowControl/>
        <w:pBdr>
          <w:top w:val="nil"/>
          <w:left w:val="nil"/>
          <w:bottom w:val="nil"/>
          <w:right w:val="nil"/>
          <w:between w:val="nil"/>
        </w:pBdr>
        <w:spacing w:before="20" w:line="240" w:lineRule="auto"/>
        <w:ind w:hanging="2"/>
        <w:rPr>
          <w:rFonts w:eastAsia="Arial" w:cstheme="minorHAnsi"/>
          <w:color w:val="000000" w:themeColor="text1"/>
        </w:rPr>
      </w:pPr>
      <w:r w:rsidRPr="0027399F">
        <w:rPr>
          <w:rFonts w:eastAsia="Arial" w:cstheme="minorHAnsi"/>
          <w:color w:val="000000" w:themeColor="text1"/>
        </w:rPr>
        <w:t xml:space="preserve">Email: </w:t>
      </w:r>
      <w:hyperlink r:id="rId75">
        <w:r w:rsidRPr="0027399F">
          <w:rPr>
            <w:rStyle w:val="Hyperlink"/>
            <w:rFonts w:eastAsia="Arial" w:cstheme="minorHAnsi"/>
          </w:rPr>
          <w:t>ash23shan@yahoo.com</w:t>
        </w:r>
      </w:hyperlink>
    </w:p>
    <w:p w14:paraId="4D4AD2A9" w14:textId="77777777" w:rsidR="0027399F" w:rsidRPr="0027399F" w:rsidRDefault="0027399F" w:rsidP="0027399F">
      <w:pPr>
        <w:widowControl/>
        <w:pBdr>
          <w:top w:val="nil"/>
          <w:left w:val="nil"/>
          <w:bottom w:val="nil"/>
          <w:right w:val="nil"/>
          <w:between w:val="nil"/>
        </w:pBdr>
        <w:spacing w:before="20" w:line="240" w:lineRule="auto"/>
        <w:rPr>
          <w:rFonts w:eastAsia="Arial" w:cstheme="minorHAnsi"/>
          <w:color w:val="000000" w:themeColor="text1"/>
        </w:rPr>
      </w:pPr>
    </w:p>
    <w:p w14:paraId="4A808864" w14:textId="77777777" w:rsidR="0027399F" w:rsidRPr="0027399F" w:rsidRDefault="0027399F" w:rsidP="0027399F">
      <w:pPr>
        <w:widowControl/>
        <w:pBdr>
          <w:top w:val="nil"/>
          <w:left w:val="nil"/>
          <w:bottom w:val="nil"/>
          <w:right w:val="nil"/>
          <w:between w:val="nil"/>
        </w:pBdr>
        <w:spacing w:before="20" w:line="240" w:lineRule="auto"/>
        <w:ind w:hanging="2"/>
        <w:rPr>
          <w:rFonts w:eastAsia="Arial" w:cstheme="minorHAnsi"/>
          <w:color w:val="000000"/>
        </w:rPr>
      </w:pPr>
      <w:r w:rsidRPr="0027399F">
        <w:rPr>
          <w:rFonts w:eastAsia="Arial" w:cstheme="minorHAnsi"/>
          <w:color w:val="000000"/>
        </w:rPr>
        <w:t xml:space="preserve">Brand and product names are trademarks of their respective companies. </w:t>
      </w:r>
    </w:p>
    <w:p w14:paraId="267EF5F8" w14:textId="54C16145" w:rsidR="00B96054" w:rsidRPr="0027399F" w:rsidRDefault="00303464" w:rsidP="00B96054">
      <w:pPr>
        <w:pStyle w:val="Heading1"/>
        <w:rPr>
          <w:rFonts w:asciiTheme="minorHAnsi" w:hAnsiTheme="minorHAnsi" w:cstheme="minorHAnsi"/>
        </w:rPr>
      </w:pPr>
      <w:r w:rsidRPr="0027399F">
        <w:rPr>
          <w:rFonts w:asciiTheme="minorHAnsi" w:hAnsiTheme="minorHAnsi" w:cstheme="minorHAnsi"/>
        </w:rPr>
        <w:lastRenderedPageBreak/>
        <w:t>1</w:t>
      </w:r>
      <w:r w:rsidR="0027399F" w:rsidRPr="0027399F">
        <w:rPr>
          <w:rFonts w:asciiTheme="minorHAnsi" w:hAnsiTheme="minorHAnsi" w:cstheme="minorHAnsi"/>
        </w:rPr>
        <w:t>2</w:t>
      </w:r>
      <w:r w:rsidRPr="0027399F">
        <w:rPr>
          <w:rFonts w:asciiTheme="minorHAnsi" w:hAnsiTheme="minorHAnsi" w:cstheme="minorHAnsi"/>
        </w:rPr>
        <w:t xml:space="preserve">: </w:t>
      </w:r>
      <w:r w:rsidR="00B96054" w:rsidRPr="0027399F">
        <w:rPr>
          <w:rFonts w:asciiTheme="minorHAnsi" w:hAnsiTheme="minorHAnsi" w:cstheme="minorHAnsi"/>
        </w:rPr>
        <w:t>Acknowledg</w:t>
      </w:r>
      <w:r w:rsidR="0027399F" w:rsidRPr="0027399F">
        <w:rPr>
          <w:rFonts w:asciiTheme="minorHAnsi" w:hAnsiTheme="minorHAnsi" w:cstheme="minorHAnsi"/>
        </w:rPr>
        <w:t>e</w:t>
      </w:r>
      <w:r w:rsidR="00B96054" w:rsidRPr="0027399F">
        <w:rPr>
          <w:rFonts w:asciiTheme="minorHAnsi" w:hAnsiTheme="minorHAnsi" w:cstheme="minorHAnsi"/>
        </w:rPr>
        <w:t>ments:</w:t>
      </w:r>
      <w:bookmarkEnd w:id="10"/>
    </w:p>
    <w:p w14:paraId="17ADAA56" w14:textId="77777777" w:rsidR="0027399F" w:rsidRPr="0027399F" w:rsidRDefault="0027399F" w:rsidP="0027399F">
      <w:pPr>
        <w:widowControl/>
        <w:pBdr>
          <w:top w:val="nil"/>
          <w:left w:val="nil"/>
          <w:bottom w:val="nil"/>
          <w:right w:val="nil"/>
          <w:between w:val="nil"/>
        </w:pBdr>
        <w:spacing w:before="240" w:line="240" w:lineRule="auto"/>
        <w:ind w:hanging="2"/>
        <w:rPr>
          <w:rFonts w:eastAsia="Arial" w:cstheme="minorHAnsi"/>
          <w:color w:val="000000" w:themeColor="text1"/>
          <w:lang w:val="en-GB"/>
        </w:rPr>
      </w:pPr>
      <w:r w:rsidRPr="0027399F">
        <w:rPr>
          <w:rFonts w:eastAsia="Arial" w:cstheme="minorHAnsi"/>
          <w:color w:val="000000" w:themeColor="text1"/>
          <w:lang w:val="en-GB"/>
        </w:rPr>
        <w:t xml:space="preserve">We would like to express our gratitude to </w:t>
      </w:r>
      <w:r w:rsidRPr="0027399F">
        <w:rPr>
          <w:rFonts w:eastAsia="Arial" w:cstheme="minorHAnsi"/>
          <w:b/>
          <w:bCs/>
          <w:color w:val="000000" w:themeColor="text1"/>
          <w:lang w:val="en-GB"/>
        </w:rPr>
        <w:t>Jeffrey Long</w:t>
      </w:r>
      <w:r w:rsidRPr="0027399F">
        <w:rPr>
          <w:rFonts w:eastAsia="Arial" w:cstheme="minorHAnsi"/>
          <w:color w:val="000000" w:themeColor="text1"/>
          <w:lang w:val="en-GB"/>
        </w:rPr>
        <w:t xml:space="preserve"> and </w:t>
      </w:r>
      <w:r w:rsidRPr="0027399F">
        <w:rPr>
          <w:rFonts w:eastAsia="Arial" w:cstheme="minorHAnsi"/>
          <w:b/>
          <w:bCs/>
          <w:color w:val="000000" w:themeColor="text1"/>
          <w:lang w:val="en-GB"/>
        </w:rPr>
        <w:t>Sireesha Krosuri</w:t>
      </w:r>
      <w:r w:rsidRPr="0027399F">
        <w:rPr>
          <w:rFonts w:eastAsia="Arial" w:cstheme="minorHAnsi"/>
          <w:color w:val="000000" w:themeColor="text1"/>
          <w:lang w:val="en-GB"/>
        </w:rPr>
        <w:t xml:space="preserve"> for their contributions throughout the development of this work. </w:t>
      </w:r>
      <w:r w:rsidRPr="0027399F">
        <w:rPr>
          <w:rFonts w:eastAsia="Arial" w:cstheme="minorHAnsi"/>
          <w:color w:val="000000" w:themeColor="text1"/>
        </w:rPr>
        <w:t xml:space="preserve">We extend our appreciation to </w:t>
      </w:r>
      <w:r w:rsidRPr="0027399F">
        <w:rPr>
          <w:rFonts w:eastAsia="Arial" w:cstheme="minorHAnsi"/>
          <w:b/>
          <w:bCs/>
          <w:color w:val="000000" w:themeColor="text1"/>
        </w:rPr>
        <w:t>Rashad Rasul</w:t>
      </w:r>
      <w:r w:rsidRPr="0027399F">
        <w:rPr>
          <w:rFonts w:eastAsia="Arial" w:cstheme="minorHAnsi"/>
          <w:color w:val="000000" w:themeColor="text1"/>
        </w:rPr>
        <w:t xml:space="preserve"> for initiating the connection that enabled this project to begin and for supporting its early development.</w:t>
      </w:r>
    </w:p>
    <w:p w14:paraId="7C6C5831" w14:textId="77777777" w:rsidR="0027399F" w:rsidRPr="0027399F" w:rsidRDefault="0027399F" w:rsidP="0027399F">
      <w:pPr>
        <w:widowControl/>
        <w:pBdr>
          <w:top w:val="nil"/>
          <w:left w:val="nil"/>
          <w:bottom w:val="nil"/>
          <w:right w:val="nil"/>
          <w:between w:val="nil"/>
        </w:pBdr>
        <w:spacing w:before="240" w:line="240" w:lineRule="auto"/>
        <w:ind w:hanging="2"/>
        <w:rPr>
          <w:rFonts w:eastAsia="Arial" w:cstheme="minorHAnsi"/>
          <w:color w:val="000000" w:themeColor="text1"/>
          <w:lang w:val="en-GB"/>
        </w:rPr>
      </w:pPr>
      <w:r w:rsidRPr="0027399F">
        <w:rPr>
          <w:rFonts w:eastAsia="Arial" w:cstheme="minorHAnsi"/>
          <w:color w:val="000000" w:themeColor="text1"/>
          <w:lang w:val="en-GB"/>
        </w:rPr>
        <w:t>This paper was developed as part of the PHUSE Working Group on “</w:t>
      </w:r>
      <w:r w:rsidRPr="0027399F">
        <w:rPr>
          <w:rFonts w:eastAsia="Arial" w:cstheme="minorHAnsi"/>
          <w:i/>
          <w:iCs/>
          <w:color w:val="000000" w:themeColor="text1"/>
          <w:lang w:val="en-GB"/>
        </w:rPr>
        <w:t>Integration of Omics Data into Clinical Drug Development</w:t>
      </w:r>
      <w:r w:rsidRPr="0027399F">
        <w:rPr>
          <w:rFonts w:eastAsia="Arial" w:cstheme="minorHAnsi"/>
          <w:color w:val="000000" w:themeColor="text1"/>
          <w:lang w:val="en-GB"/>
        </w:rPr>
        <w:t>”, whose collaborative efforts have been instrumental in shaping the framework presented here.</w:t>
      </w:r>
    </w:p>
    <w:p w14:paraId="63803D6B" w14:textId="77777777" w:rsidR="0027399F" w:rsidRPr="0027399F" w:rsidRDefault="0027399F" w:rsidP="0027399F">
      <w:pPr>
        <w:widowControl/>
        <w:pBdr>
          <w:top w:val="nil"/>
          <w:left w:val="nil"/>
          <w:bottom w:val="nil"/>
          <w:right w:val="nil"/>
          <w:between w:val="nil"/>
        </w:pBdr>
        <w:spacing w:before="240" w:line="240" w:lineRule="auto"/>
        <w:ind w:hanging="2"/>
        <w:rPr>
          <w:rFonts w:eastAsia="Arial" w:cstheme="minorHAnsi"/>
          <w:color w:val="000000" w:themeColor="text1"/>
          <w:lang w:val="en-GB"/>
        </w:rPr>
      </w:pPr>
      <w:r w:rsidRPr="0027399F">
        <w:rPr>
          <w:rFonts w:eastAsia="Arial" w:cstheme="minorHAnsi"/>
          <w:color w:val="000000" w:themeColor="text1"/>
          <w:lang w:val="en-GB"/>
        </w:rPr>
        <w:t>We also acknowledge the PHUSE EU Connect Stream Leader from the Data Handling &amp; Data Engineering stream, for their leadership and support.</w:t>
      </w:r>
    </w:p>
    <w:p w14:paraId="43F8B0D7" w14:textId="77777777" w:rsidR="0027399F" w:rsidRPr="0027399F" w:rsidRDefault="0027399F" w:rsidP="0027399F">
      <w:pPr>
        <w:rPr>
          <w:rFonts w:cstheme="minorHAnsi"/>
        </w:rPr>
      </w:pPr>
    </w:p>
    <w:p w14:paraId="70E70E00" w14:textId="77777777" w:rsidR="0027399F" w:rsidRPr="0027399F" w:rsidRDefault="0027399F" w:rsidP="0027399F">
      <w:pPr>
        <w:rPr>
          <w:rFonts w:cstheme="minorHAnsi"/>
        </w:rPr>
      </w:pPr>
    </w:p>
    <w:p w14:paraId="4EFAF7A6" w14:textId="77777777" w:rsidR="00B96054" w:rsidRPr="0027399F" w:rsidRDefault="00B96054" w:rsidP="00B96054">
      <w:pPr>
        <w:rPr>
          <w:rFonts w:cstheme="minorHAnsi"/>
        </w:rPr>
      </w:pPr>
    </w:p>
    <w:p w14:paraId="2989402C" w14:textId="77777777" w:rsidR="00DA5326" w:rsidRPr="0027399F" w:rsidRDefault="00DA5326" w:rsidP="00DA5326">
      <w:pPr>
        <w:rPr>
          <w:rFonts w:cstheme="minorHAnsi"/>
        </w:rPr>
      </w:pPr>
    </w:p>
    <w:p w14:paraId="116FAF47" w14:textId="77777777" w:rsidR="00DA5326" w:rsidRPr="0027399F" w:rsidRDefault="00DA5326" w:rsidP="00DA5326">
      <w:pPr>
        <w:rPr>
          <w:rFonts w:cstheme="minorHAnsi"/>
        </w:rPr>
      </w:pPr>
    </w:p>
    <w:p w14:paraId="04A401BA" w14:textId="4FB39F6C" w:rsidR="0027399F" w:rsidRPr="0027399F" w:rsidRDefault="0027399F" w:rsidP="0088557B">
      <w:pPr>
        <w:ind w:left="2160" w:firstLine="720"/>
        <w:rPr>
          <w:rFonts w:cstheme="minorHAnsi"/>
        </w:rPr>
      </w:pPr>
    </w:p>
    <w:p w14:paraId="5BA12274" w14:textId="40E7034B" w:rsidR="00DA5326" w:rsidRPr="0027399F" w:rsidRDefault="00DA5326" w:rsidP="0027399F">
      <w:pPr>
        <w:widowControl/>
        <w:spacing w:after="0"/>
        <w:rPr>
          <w:rFonts w:cstheme="minorHAnsi"/>
        </w:rPr>
      </w:pPr>
    </w:p>
    <w:sectPr w:rsidR="00DA5326" w:rsidRPr="0027399F" w:rsidSect="0088557B">
      <w:headerReference w:type="default" r:id="rId76"/>
      <w:footerReference w:type="default" r:id="rId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2CB020" w14:textId="77777777" w:rsidR="004D3844" w:rsidRDefault="004D3844" w:rsidP="0088557B">
      <w:pPr>
        <w:spacing w:after="0" w:line="240" w:lineRule="auto"/>
      </w:pPr>
      <w:r>
        <w:separator/>
      </w:r>
    </w:p>
  </w:endnote>
  <w:endnote w:type="continuationSeparator" w:id="0">
    <w:p w14:paraId="516FE0D8" w14:textId="77777777" w:rsidR="004D3844" w:rsidRDefault="004D3844" w:rsidP="008855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41899"/>
      <w:docPartObj>
        <w:docPartGallery w:val="Page Numbers (Bottom of Page)"/>
        <w:docPartUnique/>
      </w:docPartObj>
    </w:sdtPr>
    <w:sdtContent>
      <w:p w14:paraId="020D8A9B" w14:textId="77777777" w:rsidR="0088557B" w:rsidRDefault="0088557B">
        <w:pPr>
          <w:pStyle w:val="Footer"/>
          <w:jc w:val="right"/>
        </w:pPr>
      </w:p>
      <w:p w14:paraId="5C8AFCC0" w14:textId="77777777" w:rsidR="0088557B" w:rsidRDefault="000F1BD2">
        <w:pPr>
          <w:pStyle w:val="Footer"/>
          <w:jc w:val="right"/>
        </w:pPr>
        <w:r>
          <w:fldChar w:fldCharType="begin"/>
        </w:r>
        <w:r>
          <w:instrText xml:space="preserve"> PAGE   \* MERGEFORMAT </w:instrText>
        </w:r>
        <w:r>
          <w:fldChar w:fldCharType="separate"/>
        </w:r>
        <w:r w:rsidR="00B96054">
          <w:rPr>
            <w:noProof/>
          </w:rPr>
          <w:t>1</w:t>
        </w:r>
        <w:r>
          <w:rPr>
            <w:noProof/>
          </w:rPr>
          <w:fldChar w:fldCharType="end"/>
        </w:r>
      </w:p>
    </w:sdtContent>
  </w:sdt>
  <w:p w14:paraId="73C55D76" w14:textId="356F5A4C" w:rsidR="0088557B" w:rsidRPr="003D6BFE" w:rsidRDefault="0027399F">
    <w:pPr>
      <w:pStyle w:val="Footer"/>
      <w:rPr>
        <w:rFonts w:cstheme="minorHAnsi"/>
      </w:rPr>
    </w:pPr>
    <w:r w:rsidRPr="003D6BFE">
      <w:rPr>
        <w:rFonts w:eastAsia="Times New Roman" w:cstheme="minorHAnsi"/>
        <w:spacing w:val="-7"/>
        <w:position w:val="1"/>
      </w:rPr>
      <w:t>Integration of Omics Data into Clinical Drug Development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FBCA97" w14:textId="77777777" w:rsidR="004D3844" w:rsidRDefault="004D3844" w:rsidP="0088557B">
      <w:pPr>
        <w:spacing w:after="0" w:line="240" w:lineRule="auto"/>
      </w:pPr>
      <w:r>
        <w:separator/>
      </w:r>
    </w:p>
  </w:footnote>
  <w:footnote w:type="continuationSeparator" w:id="0">
    <w:p w14:paraId="105F3153" w14:textId="77777777" w:rsidR="004D3844" w:rsidRDefault="004D3844" w:rsidP="008855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1"/>
      <w:gridCol w:w="5799"/>
      <w:gridCol w:w="2124"/>
    </w:tblGrid>
    <w:tr w:rsidR="0088557B" w14:paraId="76B6C8A1" w14:textId="77777777" w:rsidTr="00E87525">
      <w:trPr>
        <w:trHeight w:hRule="exact" w:val="1286"/>
      </w:trPr>
      <w:tc>
        <w:tcPr>
          <w:tcW w:w="1541" w:type="dxa"/>
        </w:tcPr>
        <w:p w14:paraId="4EDAD78D" w14:textId="34A04455" w:rsidR="0088557B" w:rsidRDefault="00A16FE0" w:rsidP="0041543F">
          <w:pPr>
            <w:spacing w:before="71" w:after="0" w:line="240" w:lineRule="auto"/>
            <w:ind w:left="102" w:right="-2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036A3631" wp14:editId="39903648">
                <wp:extent cx="837282" cy="694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681 PHUSE Logo June 2019 RGB FINAL (2).png"/>
                        <pic:cNvPicPr/>
                      </pic:nvPicPr>
                      <pic:blipFill>
                        <a:blip r:embed="rId1">
                          <a:extLst>
                            <a:ext uri="{28A0092B-C50C-407E-A947-70E740481C1C}">
                              <a14:useLocalDpi xmlns:a14="http://schemas.microsoft.com/office/drawing/2010/main" val="0"/>
                            </a:ext>
                          </a:extLst>
                        </a:blip>
                        <a:stretch>
                          <a:fillRect/>
                        </a:stretch>
                      </pic:blipFill>
                      <pic:spPr>
                        <a:xfrm>
                          <a:off x="0" y="0"/>
                          <a:ext cx="843913" cy="699552"/>
                        </a:xfrm>
                        <a:prstGeom prst="rect">
                          <a:avLst/>
                        </a:prstGeom>
                      </pic:spPr>
                    </pic:pic>
                  </a:graphicData>
                </a:graphic>
              </wp:inline>
            </w:drawing>
          </w:r>
        </w:p>
      </w:tc>
      <w:tc>
        <w:tcPr>
          <w:tcW w:w="5799" w:type="dxa"/>
        </w:tcPr>
        <w:p w14:paraId="2C75E675" w14:textId="77777777" w:rsidR="00E87525" w:rsidRDefault="00E87525" w:rsidP="0041543F">
          <w:pPr>
            <w:tabs>
              <w:tab w:val="left" w:pos="1520"/>
            </w:tabs>
            <w:spacing w:after="0" w:line="264" w:lineRule="exact"/>
            <w:ind w:left="100" w:right="-20"/>
            <w:rPr>
              <w:rFonts w:ascii="Calibri" w:eastAsia="Calibri" w:hAnsi="Calibri" w:cs="Calibri"/>
              <w:spacing w:val="1"/>
              <w:position w:val="1"/>
            </w:rPr>
          </w:pPr>
        </w:p>
        <w:p w14:paraId="3C8C1C82" w14:textId="41090FF3" w:rsidR="0088557B" w:rsidRDefault="00CF5373" w:rsidP="0041543F">
          <w:pPr>
            <w:tabs>
              <w:tab w:val="left" w:pos="1520"/>
            </w:tabs>
            <w:spacing w:after="0" w:line="264" w:lineRule="exact"/>
            <w:ind w:left="100" w:right="-20"/>
            <w:rPr>
              <w:rFonts w:ascii="Calibri" w:eastAsia="Calibri" w:hAnsi="Calibri" w:cs="Calibri"/>
            </w:rPr>
          </w:pPr>
          <w:r>
            <w:rPr>
              <w:rFonts w:ascii="Calibri" w:eastAsia="Calibri" w:hAnsi="Calibri" w:cs="Calibri"/>
              <w:spacing w:val="1"/>
              <w:position w:val="1"/>
            </w:rPr>
            <w:t>DOC.ID</w:t>
          </w:r>
          <w:r w:rsidR="0088557B">
            <w:rPr>
              <w:rFonts w:ascii="Calibri" w:eastAsia="Calibri" w:hAnsi="Calibri" w:cs="Calibri"/>
              <w:position w:val="1"/>
            </w:rPr>
            <w:t>:</w:t>
          </w:r>
          <w:r w:rsidR="0088557B">
            <w:rPr>
              <w:rFonts w:ascii="Times New Roman" w:eastAsia="Times New Roman" w:hAnsi="Times New Roman" w:cs="Times New Roman"/>
              <w:position w:val="1"/>
            </w:rPr>
            <w:tab/>
          </w:r>
          <w:r w:rsidR="00474EB6">
            <w:rPr>
              <w:rFonts w:ascii="Times New Roman" w:eastAsia="Times New Roman" w:hAnsi="Times New Roman" w:cs="Times New Roman"/>
              <w:i/>
              <w:position w:val="1"/>
            </w:rPr>
            <w:t>WP-11</w:t>
          </w:r>
          <w:r w:rsidR="003B4426">
            <w:rPr>
              <w:rFonts w:ascii="Times New Roman" w:eastAsia="Times New Roman" w:hAnsi="Times New Roman" w:cs="Times New Roman"/>
              <w:i/>
              <w:position w:val="1"/>
            </w:rPr>
            <w:t>6</w:t>
          </w:r>
        </w:p>
        <w:p w14:paraId="662E6A5C" w14:textId="1F332F12" w:rsidR="0088557B" w:rsidRDefault="00CF5373" w:rsidP="0041543F">
          <w:pPr>
            <w:tabs>
              <w:tab w:val="left" w:pos="1520"/>
            </w:tabs>
            <w:spacing w:after="0" w:line="264" w:lineRule="exact"/>
            <w:ind w:left="100" w:right="-20"/>
            <w:rPr>
              <w:rFonts w:ascii="Times New Roman" w:eastAsia="Times New Roman" w:hAnsi="Times New Roman" w:cs="Times New Roman"/>
              <w:i/>
              <w:position w:val="1"/>
            </w:rPr>
          </w:pPr>
          <w:r>
            <w:rPr>
              <w:rFonts w:ascii="Calibri" w:eastAsia="Calibri" w:hAnsi="Calibri" w:cs="Calibri"/>
              <w:spacing w:val="1"/>
            </w:rPr>
            <w:t>Version</w:t>
          </w:r>
          <w:r w:rsidR="0088557B">
            <w:rPr>
              <w:rFonts w:ascii="Calibri" w:eastAsia="Calibri" w:hAnsi="Calibri" w:cs="Calibri"/>
            </w:rPr>
            <w:t>:</w:t>
          </w:r>
          <w:r w:rsidR="0088557B">
            <w:rPr>
              <w:rFonts w:ascii="Times New Roman" w:eastAsia="Times New Roman" w:hAnsi="Times New Roman" w:cs="Times New Roman"/>
            </w:rPr>
            <w:tab/>
          </w:r>
          <w:r w:rsidR="0027399F">
            <w:rPr>
              <w:rFonts w:ascii="Times New Roman" w:eastAsia="Times New Roman" w:hAnsi="Times New Roman" w:cs="Times New Roman"/>
              <w:i/>
              <w:position w:val="1"/>
            </w:rPr>
            <w:t>V1</w:t>
          </w:r>
        </w:p>
        <w:p w14:paraId="7E9BB203" w14:textId="53D19399" w:rsidR="00681863" w:rsidRPr="00681863" w:rsidRDefault="00681863" w:rsidP="0041543F">
          <w:pPr>
            <w:tabs>
              <w:tab w:val="left" w:pos="1520"/>
            </w:tabs>
            <w:spacing w:after="0" w:line="264" w:lineRule="exact"/>
            <w:ind w:left="100" w:right="-20"/>
            <w:rPr>
              <w:rFonts w:eastAsia="Calibri" w:cstheme="minorHAnsi"/>
              <w:iCs/>
            </w:rPr>
          </w:pPr>
          <w:r w:rsidRPr="00681863">
            <w:rPr>
              <w:rFonts w:eastAsia="Times New Roman" w:cstheme="minorHAnsi"/>
              <w:iCs/>
              <w:position w:val="1"/>
            </w:rPr>
            <w:t xml:space="preserve">Date: </w:t>
          </w:r>
          <w:r w:rsidR="0027399F">
            <w:rPr>
              <w:rFonts w:eastAsia="Times New Roman" w:cstheme="minorHAnsi"/>
              <w:iCs/>
              <w:position w:val="1"/>
            </w:rPr>
            <w:t xml:space="preserve">                  0</w:t>
          </w:r>
          <w:r w:rsidR="003D6BFE">
            <w:rPr>
              <w:rFonts w:eastAsia="Times New Roman" w:cstheme="minorHAnsi"/>
              <w:iCs/>
              <w:position w:val="1"/>
            </w:rPr>
            <w:t>3</w:t>
          </w:r>
          <w:r w:rsidR="0027399F">
            <w:rPr>
              <w:rFonts w:eastAsia="Times New Roman" w:cstheme="minorHAnsi"/>
              <w:iCs/>
              <w:position w:val="1"/>
            </w:rPr>
            <w:t>/0</w:t>
          </w:r>
          <w:r w:rsidR="003D6BFE">
            <w:rPr>
              <w:rFonts w:eastAsia="Times New Roman" w:cstheme="minorHAnsi"/>
              <w:iCs/>
              <w:position w:val="1"/>
            </w:rPr>
            <w:t>3</w:t>
          </w:r>
          <w:r w:rsidR="0027399F">
            <w:rPr>
              <w:rFonts w:eastAsia="Times New Roman" w:cstheme="minorHAnsi"/>
              <w:iCs/>
              <w:position w:val="1"/>
            </w:rPr>
            <w:t>/26</w:t>
          </w:r>
        </w:p>
        <w:p w14:paraId="1DB34209" w14:textId="77777777" w:rsidR="0088557B" w:rsidRDefault="0088557B" w:rsidP="0041543F">
          <w:pPr>
            <w:tabs>
              <w:tab w:val="left" w:pos="1520"/>
            </w:tabs>
            <w:spacing w:after="0" w:line="240" w:lineRule="auto"/>
            <w:ind w:left="100" w:right="-20"/>
            <w:rPr>
              <w:rFonts w:ascii="Calibri" w:eastAsia="Calibri" w:hAnsi="Calibri" w:cs="Calibri"/>
            </w:rPr>
          </w:pPr>
        </w:p>
      </w:tc>
      <w:tc>
        <w:tcPr>
          <w:tcW w:w="2124" w:type="dxa"/>
        </w:tcPr>
        <w:p w14:paraId="00F91B5B" w14:textId="77777777" w:rsidR="0088557B" w:rsidRDefault="0088557B" w:rsidP="0041543F">
          <w:pPr>
            <w:spacing w:before="4" w:after="0" w:line="200" w:lineRule="exact"/>
            <w:rPr>
              <w:sz w:val="20"/>
              <w:szCs w:val="20"/>
            </w:rPr>
          </w:pPr>
        </w:p>
        <w:p w14:paraId="6F9B1B7E" w14:textId="77777777" w:rsidR="0088557B" w:rsidRDefault="0088557B" w:rsidP="0041543F">
          <w:pPr>
            <w:spacing w:after="0" w:line="242" w:lineRule="exact"/>
            <w:ind w:left="97" w:right="73"/>
            <w:rPr>
              <w:rFonts w:ascii="Times New Roman" w:eastAsia="Times New Roman" w:hAnsi="Times New Roman" w:cs="Times New Roman"/>
              <w:sz w:val="20"/>
              <w:szCs w:val="20"/>
            </w:rPr>
          </w:pPr>
          <w:r>
            <w:rPr>
              <w:rFonts w:ascii="Calibri" w:eastAsia="Calibri" w:hAnsi="Calibri" w:cs="Calibri"/>
              <w:spacing w:val="1"/>
              <w:sz w:val="20"/>
              <w:szCs w:val="20"/>
            </w:rPr>
            <w:t>Wo</w:t>
          </w:r>
          <w:r>
            <w:rPr>
              <w:rFonts w:ascii="Calibri" w:eastAsia="Calibri" w:hAnsi="Calibri" w:cs="Calibri"/>
              <w:spacing w:val="-1"/>
              <w:sz w:val="20"/>
              <w:szCs w:val="20"/>
            </w:rPr>
            <w:t>r</w:t>
          </w:r>
          <w:r>
            <w:rPr>
              <w:rFonts w:ascii="Calibri" w:eastAsia="Calibri" w:hAnsi="Calibri" w:cs="Calibri"/>
              <w:spacing w:val="1"/>
              <w:sz w:val="20"/>
              <w:szCs w:val="20"/>
            </w:rPr>
            <w:t>k</w:t>
          </w:r>
          <w:r>
            <w:rPr>
              <w:rFonts w:ascii="Calibri" w:eastAsia="Calibri" w:hAnsi="Calibri" w:cs="Calibri"/>
              <w:sz w:val="20"/>
              <w:szCs w:val="20"/>
            </w:rPr>
            <w:t>i</w:t>
          </w:r>
          <w:r>
            <w:rPr>
              <w:rFonts w:ascii="Calibri" w:eastAsia="Calibri" w:hAnsi="Calibri" w:cs="Calibri"/>
              <w:spacing w:val="1"/>
              <w:sz w:val="20"/>
              <w:szCs w:val="20"/>
            </w:rPr>
            <w:t>n</w:t>
          </w:r>
          <w:r>
            <w:rPr>
              <w:rFonts w:ascii="Calibri" w:eastAsia="Calibri" w:hAnsi="Calibri" w:cs="Calibri"/>
              <w:sz w:val="20"/>
              <w:szCs w:val="20"/>
            </w:rPr>
            <w:t>g</w:t>
          </w:r>
          <w:r>
            <w:rPr>
              <w:rFonts w:ascii="Times New Roman" w:eastAsia="Times New Roman" w:hAnsi="Times New Roman" w:cs="Times New Roman"/>
              <w:spacing w:val="-8"/>
              <w:sz w:val="20"/>
              <w:szCs w:val="20"/>
            </w:rPr>
            <w:t xml:space="preserve"> </w:t>
          </w:r>
          <w:r>
            <w:rPr>
              <w:rFonts w:ascii="Calibri" w:eastAsia="Calibri" w:hAnsi="Calibri" w:cs="Calibri"/>
              <w:spacing w:val="-1"/>
              <w:sz w:val="20"/>
              <w:szCs w:val="20"/>
            </w:rPr>
            <w:t>Gr</w:t>
          </w:r>
          <w:r>
            <w:rPr>
              <w:rFonts w:ascii="Calibri" w:eastAsia="Calibri" w:hAnsi="Calibri" w:cs="Calibri"/>
              <w:spacing w:val="1"/>
              <w:sz w:val="20"/>
              <w:szCs w:val="20"/>
            </w:rPr>
            <w:t>oup</w:t>
          </w:r>
          <w:r>
            <w:rPr>
              <w:rFonts w:ascii="Calibri" w:eastAsia="Calibri" w:hAnsi="Calibri" w:cs="Calibri"/>
              <w:sz w:val="20"/>
              <w:szCs w:val="20"/>
            </w:rPr>
            <w:t>:</w:t>
          </w:r>
          <w:r>
            <w:rPr>
              <w:rFonts w:ascii="Times New Roman" w:eastAsia="Times New Roman" w:hAnsi="Times New Roman" w:cs="Times New Roman"/>
              <w:sz w:val="20"/>
              <w:szCs w:val="20"/>
            </w:rPr>
            <w:t xml:space="preserve"> </w:t>
          </w:r>
        </w:p>
        <w:p w14:paraId="2C7A9BC6" w14:textId="219623B3" w:rsidR="0088557B" w:rsidRPr="006670B3" w:rsidRDefault="0027399F" w:rsidP="0041543F">
          <w:pPr>
            <w:spacing w:after="0" w:line="242" w:lineRule="exact"/>
            <w:ind w:left="97" w:right="73"/>
            <w:rPr>
              <w:rFonts w:ascii="Calibri" w:eastAsia="Calibri" w:hAnsi="Calibri" w:cs="Calibri"/>
              <w:i/>
              <w:sz w:val="20"/>
              <w:szCs w:val="20"/>
            </w:rPr>
          </w:pPr>
          <w:r>
            <w:rPr>
              <w:rFonts w:ascii="Calibri" w:eastAsia="Calibri" w:hAnsi="Calibri" w:cs="Calibri"/>
              <w:i/>
              <w:spacing w:val="1"/>
              <w:sz w:val="20"/>
              <w:szCs w:val="20"/>
            </w:rPr>
            <w:t>Emerging Trends &amp; Innovation</w:t>
          </w:r>
        </w:p>
      </w:tc>
    </w:tr>
  </w:tbl>
  <w:p w14:paraId="5D3BB030" w14:textId="77777777" w:rsidR="0088557B" w:rsidRDefault="008855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86D1B"/>
    <w:multiLevelType w:val="hybridMultilevel"/>
    <w:tmpl w:val="96F0EA1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55696EB7"/>
    <w:multiLevelType w:val="hybridMultilevel"/>
    <w:tmpl w:val="88DCFC2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58835D84"/>
    <w:multiLevelType w:val="hybridMultilevel"/>
    <w:tmpl w:val="50F2B8C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631863E7"/>
    <w:multiLevelType w:val="hybridMultilevel"/>
    <w:tmpl w:val="D1DA2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6167834"/>
    <w:multiLevelType w:val="hybridMultilevel"/>
    <w:tmpl w:val="459E15C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7E8E6EFF"/>
    <w:multiLevelType w:val="hybridMultilevel"/>
    <w:tmpl w:val="55364A5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338769505">
    <w:abstractNumId w:val="3"/>
  </w:num>
  <w:num w:numId="2" w16cid:durableId="1731228352">
    <w:abstractNumId w:val="5"/>
  </w:num>
  <w:num w:numId="3" w16cid:durableId="1935547492">
    <w:abstractNumId w:val="2"/>
  </w:num>
  <w:num w:numId="4" w16cid:durableId="2075466281">
    <w:abstractNumId w:val="1"/>
  </w:num>
  <w:num w:numId="5" w16cid:durableId="1526366083">
    <w:abstractNumId w:val="0"/>
  </w:num>
  <w:num w:numId="6" w16cid:durableId="20165659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57B"/>
    <w:rsid w:val="00005E34"/>
    <w:rsid w:val="00010D39"/>
    <w:rsid w:val="000820CB"/>
    <w:rsid w:val="000F1BD2"/>
    <w:rsid w:val="00122310"/>
    <w:rsid w:val="00122F0F"/>
    <w:rsid w:val="00156C1A"/>
    <w:rsid w:val="0016461C"/>
    <w:rsid w:val="001968DF"/>
    <w:rsid w:val="001969C8"/>
    <w:rsid w:val="001B0F5B"/>
    <w:rsid w:val="002650E0"/>
    <w:rsid w:val="00266909"/>
    <w:rsid w:val="00271F89"/>
    <w:rsid w:val="0027399F"/>
    <w:rsid w:val="00287546"/>
    <w:rsid w:val="00287A18"/>
    <w:rsid w:val="00303464"/>
    <w:rsid w:val="003B4426"/>
    <w:rsid w:val="003D6BFE"/>
    <w:rsid w:val="00403AA2"/>
    <w:rsid w:val="00467F52"/>
    <w:rsid w:val="00473EB8"/>
    <w:rsid w:val="00474EB6"/>
    <w:rsid w:val="004D3844"/>
    <w:rsid w:val="004E55E2"/>
    <w:rsid w:val="00530127"/>
    <w:rsid w:val="005B2115"/>
    <w:rsid w:val="005D1C10"/>
    <w:rsid w:val="00600644"/>
    <w:rsid w:val="006277A5"/>
    <w:rsid w:val="00681863"/>
    <w:rsid w:val="00684DB3"/>
    <w:rsid w:val="006F593E"/>
    <w:rsid w:val="00703C24"/>
    <w:rsid w:val="00711903"/>
    <w:rsid w:val="00750DDF"/>
    <w:rsid w:val="00751492"/>
    <w:rsid w:val="007631E2"/>
    <w:rsid w:val="008019FC"/>
    <w:rsid w:val="0082546D"/>
    <w:rsid w:val="0088557B"/>
    <w:rsid w:val="008C2696"/>
    <w:rsid w:val="008F273A"/>
    <w:rsid w:val="00915ADF"/>
    <w:rsid w:val="009162DA"/>
    <w:rsid w:val="009C4025"/>
    <w:rsid w:val="009C4AF6"/>
    <w:rsid w:val="009F7703"/>
    <w:rsid w:val="00A16FE0"/>
    <w:rsid w:val="00A51BCF"/>
    <w:rsid w:val="00AB18D5"/>
    <w:rsid w:val="00B00E49"/>
    <w:rsid w:val="00B16112"/>
    <w:rsid w:val="00B47A0E"/>
    <w:rsid w:val="00B50665"/>
    <w:rsid w:val="00B65BEB"/>
    <w:rsid w:val="00B96054"/>
    <w:rsid w:val="00BA40EF"/>
    <w:rsid w:val="00BF4166"/>
    <w:rsid w:val="00C00DD5"/>
    <w:rsid w:val="00C06B3E"/>
    <w:rsid w:val="00C4011B"/>
    <w:rsid w:val="00CD5E85"/>
    <w:rsid w:val="00CF5373"/>
    <w:rsid w:val="00D05D15"/>
    <w:rsid w:val="00D90EAF"/>
    <w:rsid w:val="00DA0B32"/>
    <w:rsid w:val="00DA5326"/>
    <w:rsid w:val="00DC3909"/>
    <w:rsid w:val="00E120ED"/>
    <w:rsid w:val="00E34EC4"/>
    <w:rsid w:val="00E374AF"/>
    <w:rsid w:val="00E81374"/>
    <w:rsid w:val="00E87525"/>
    <w:rsid w:val="00E95A99"/>
    <w:rsid w:val="00ED3FA6"/>
    <w:rsid w:val="00ED4E30"/>
    <w:rsid w:val="00F2638E"/>
    <w:rsid w:val="00F6773B"/>
    <w:rsid w:val="00F71952"/>
    <w:rsid w:val="00FF3F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7FC7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557B"/>
    <w:pPr>
      <w:widowControl w:val="0"/>
      <w:spacing w:after="200"/>
    </w:pPr>
  </w:style>
  <w:style w:type="paragraph" w:styleId="Heading1">
    <w:name w:val="heading 1"/>
    <w:basedOn w:val="Normal"/>
    <w:next w:val="Normal"/>
    <w:link w:val="Heading1Char"/>
    <w:uiPriority w:val="9"/>
    <w:qFormat/>
    <w:rsid w:val="00DA53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557B"/>
    <w:pPr>
      <w:tabs>
        <w:tab w:val="center" w:pos="4680"/>
        <w:tab w:val="right" w:pos="9360"/>
      </w:tabs>
      <w:spacing w:line="240" w:lineRule="auto"/>
    </w:pPr>
  </w:style>
  <w:style w:type="character" w:customStyle="1" w:styleId="HeaderChar">
    <w:name w:val="Header Char"/>
    <w:basedOn w:val="DefaultParagraphFont"/>
    <w:link w:val="Header"/>
    <w:uiPriority w:val="99"/>
    <w:rsid w:val="0088557B"/>
  </w:style>
  <w:style w:type="paragraph" w:styleId="Footer">
    <w:name w:val="footer"/>
    <w:basedOn w:val="Normal"/>
    <w:link w:val="FooterChar"/>
    <w:uiPriority w:val="99"/>
    <w:unhideWhenUsed/>
    <w:rsid w:val="0088557B"/>
    <w:pPr>
      <w:tabs>
        <w:tab w:val="center" w:pos="4680"/>
        <w:tab w:val="right" w:pos="9360"/>
      </w:tabs>
      <w:spacing w:line="240" w:lineRule="auto"/>
    </w:pPr>
  </w:style>
  <w:style w:type="character" w:customStyle="1" w:styleId="FooterChar">
    <w:name w:val="Footer Char"/>
    <w:basedOn w:val="DefaultParagraphFont"/>
    <w:link w:val="Footer"/>
    <w:uiPriority w:val="99"/>
    <w:rsid w:val="0088557B"/>
  </w:style>
  <w:style w:type="paragraph" w:styleId="BalloonText">
    <w:name w:val="Balloon Text"/>
    <w:basedOn w:val="Normal"/>
    <w:link w:val="BalloonTextChar"/>
    <w:uiPriority w:val="99"/>
    <w:semiHidden/>
    <w:unhideWhenUsed/>
    <w:rsid w:val="0088557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557B"/>
    <w:rPr>
      <w:rFonts w:ascii="Tahoma" w:hAnsi="Tahoma" w:cs="Tahoma"/>
      <w:sz w:val="16"/>
      <w:szCs w:val="16"/>
    </w:rPr>
  </w:style>
  <w:style w:type="character" w:customStyle="1" w:styleId="Heading1Char">
    <w:name w:val="Heading 1 Char"/>
    <w:basedOn w:val="DefaultParagraphFont"/>
    <w:link w:val="Heading1"/>
    <w:uiPriority w:val="9"/>
    <w:rsid w:val="00DA532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A5326"/>
    <w:pPr>
      <w:widowControl/>
      <w:outlineLvl w:val="9"/>
    </w:pPr>
  </w:style>
  <w:style w:type="paragraph" w:styleId="TOC1">
    <w:name w:val="toc 1"/>
    <w:basedOn w:val="Normal"/>
    <w:next w:val="Normal"/>
    <w:autoRedefine/>
    <w:uiPriority w:val="39"/>
    <w:unhideWhenUsed/>
    <w:rsid w:val="00DA5326"/>
    <w:pPr>
      <w:spacing w:before="120" w:after="0"/>
    </w:pPr>
    <w:rPr>
      <w:rFonts w:cstheme="minorHAnsi"/>
      <w:b/>
      <w:bCs/>
      <w:i/>
      <w:iCs/>
      <w:sz w:val="24"/>
      <w:szCs w:val="24"/>
    </w:rPr>
  </w:style>
  <w:style w:type="character" w:styleId="Hyperlink">
    <w:name w:val="Hyperlink"/>
    <w:basedOn w:val="DefaultParagraphFont"/>
    <w:uiPriority w:val="99"/>
    <w:unhideWhenUsed/>
    <w:rsid w:val="00DA5326"/>
    <w:rPr>
      <w:color w:val="0000FF" w:themeColor="hyperlink"/>
      <w:u w:val="single"/>
    </w:rPr>
  </w:style>
  <w:style w:type="paragraph" w:styleId="ListParagraph">
    <w:name w:val="List Paragraph"/>
    <w:basedOn w:val="Normal"/>
    <w:uiPriority w:val="34"/>
    <w:qFormat/>
    <w:rsid w:val="00DA0B32"/>
    <w:pPr>
      <w:ind w:left="720"/>
      <w:contextualSpacing/>
    </w:pPr>
  </w:style>
  <w:style w:type="paragraph" w:styleId="NormalWeb">
    <w:name w:val="Normal (Web)"/>
    <w:basedOn w:val="Normal"/>
    <w:uiPriority w:val="99"/>
    <w:semiHidden/>
    <w:unhideWhenUsed/>
    <w:rsid w:val="00156C1A"/>
    <w:pPr>
      <w:widowControl/>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27399F"/>
    <w:rPr>
      <w:sz w:val="16"/>
      <w:szCs w:val="16"/>
    </w:rPr>
  </w:style>
  <w:style w:type="paragraph" w:styleId="Caption">
    <w:name w:val="caption"/>
    <w:basedOn w:val="Normal"/>
    <w:next w:val="Normal"/>
    <w:uiPriority w:val="35"/>
    <w:unhideWhenUsed/>
    <w:qFormat/>
    <w:rsid w:val="0027399F"/>
    <w:pPr>
      <w:suppressAutoHyphens/>
      <w:spacing w:line="240" w:lineRule="auto"/>
      <w:ind w:leftChars="-1" w:left="-1" w:hangingChars="1" w:hanging="1"/>
      <w:textDirection w:val="btLr"/>
      <w:textAlignment w:val="top"/>
      <w:outlineLvl w:val="0"/>
    </w:pPr>
    <w:rPr>
      <w:rFonts w:ascii="Times New Roman" w:eastAsia="Times New Roman" w:hAnsi="Times New Roman" w:cs="Times New Roman"/>
      <w:i/>
      <w:iCs/>
      <w:color w:val="1F497D" w:themeColor="text2"/>
      <w:position w:val="-1"/>
      <w:sz w:val="18"/>
      <w:szCs w:val="18"/>
    </w:rPr>
  </w:style>
  <w:style w:type="paragraph" w:styleId="BodyText">
    <w:name w:val="Body Text"/>
    <w:basedOn w:val="Normal"/>
    <w:link w:val="BodyTextChar"/>
    <w:qFormat/>
    <w:rsid w:val="0027399F"/>
    <w:pPr>
      <w:widowControl/>
      <w:spacing w:before="160" w:after="160"/>
    </w:pPr>
    <w:rPr>
      <w:color w:val="1F497D" w:themeColor="text2"/>
      <w:kern w:val="2"/>
      <w14:ligatures w14:val="standardContextual"/>
    </w:rPr>
  </w:style>
  <w:style w:type="character" w:customStyle="1" w:styleId="BodyTextChar">
    <w:name w:val="Body Text Char"/>
    <w:basedOn w:val="DefaultParagraphFont"/>
    <w:link w:val="BodyText"/>
    <w:rsid w:val="0027399F"/>
    <w:rPr>
      <w:color w:val="1F497D" w:themeColor="text2"/>
      <w:kern w:val="2"/>
      <w14:ligatures w14:val="standardContextual"/>
    </w:rPr>
  </w:style>
  <w:style w:type="paragraph" w:styleId="TOC2">
    <w:name w:val="toc 2"/>
    <w:basedOn w:val="Normal"/>
    <w:next w:val="Normal"/>
    <w:autoRedefine/>
    <w:uiPriority w:val="39"/>
    <w:semiHidden/>
    <w:unhideWhenUsed/>
    <w:rsid w:val="0027399F"/>
    <w:pPr>
      <w:spacing w:before="120" w:after="0"/>
      <w:ind w:left="220"/>
    </w:pPr>
    <w:rPr>
      <w:rFonts w:cstheme="minorHAnsi"/>
      <w:b/>
      <w:bCs/>
    </w:rPr>
  </w:style>
  <w:style w:type="paragraph" w:styleId="TOC3">
    <w:name w:val="toc 3"/>
    <w:basedOn w:val="Normal"/>
    <w:next w:val="Normal"/>
    <w:autoRedefine/>
    <w:uiPriority w:val="39"/>
    <w:semiHidden/>
    <w:unhideWhenUsed/>
    <w:rsid w:val="0027399F"/>
    <w:pPr>
      <w:spacing w:after="0"/>
      <w:ind w:left="440"/>
    </w:pPr>
    <w:rPr>
      <w:rFonts w:cstheme="minorHAnsi"/>
      <w:sz w:val="20"/>
      <w:szCs w:val="20"/>
    </w:rPr>
  </w:style>
  <w:style w:type="paragraph" w:styleId="TOC4">
    <w:name w:val="toc 4"/>
    <w:basedOn w:val="Normal"/>
    <w:next w:val="Normal"/>
    <w:autoRedefine/>
    <w:uiPriority w:val="39"/>
    <w:semiHidden/>
    <w:unhideWhenUsed/>
    <w:rsid w:val="0027399F"/>
    <w:pPr>
      <w:spacing w:after="0"/>
      <w:ind w:left="660"/>
    </w:pPr>
    <w:rPr>
      <w:rFonts w:cstheme="minorHAnsi"/>
      <w:sz w:val="20"/>
      <w:szCs w:val="20"/>
    </w:rPr>
  </w:style>
  <w:style w:type="paragraph" w:styleId="TOC5">
    <w:name w:val="toc 5"/>
    <w:basedOn w:val="Normal"/>
    <w:next w:val="Normal"/>
    <w:autoRedefine/>
    <w:uiPriority w:val="39"/>
    <w:semiHidden/>
    <w:unhideWhenUsed/>
    <w:rsid w:val="0027399F"/>
    <w:pPr>
      <w:spacing w:after="0"/>
      <w:ind w:left="880"/>
    </w:pPr>
    <w:rPr>
      <w:rFonts w:cstheme="minorHAnsi"/>
      <w:sz w:val="20"/>
      <w:szCs w:val="20"/>
    </w:rPr>
  </w:style>
  <w:style w:type="paragraph" w:styleId="TOC6">
    <w:name w:val="toc 6"/>
    <w:basedOn w:val="Normal"/>
    <w:next w:val="Normal"/>
    <w:autoRedefine/>
    <w:uiPriority w:val="39"/>
    <w:semiHidden/>
    <w:unhideWhenUsed/>
    <w:rsid w:val="0027399F"/>
    <w:pPr>
      <w:spacing w:after="0"/>
      <w:ind w:left="1100"/>
    </w:pPr>
    <w:rPr>
      <w:rFonts w:cstheme="minorHAnsi"/>
      <w:sz w:val="20"/>
      <w:szCs w:val="20"/>
    </w:rPr>
  </w:style>
  <w:style w:type="paragraph" w:styleId="TOC7">
    <w:name w:val="toc 7"/>
    <w:basedOn w:val="Normal"/>
    <w:next w:val="Normal"/>
    <w:autoRedefine/>
    <w:uiPriority w:val="39"/>
    <w:semiHidden/>
    <w:unhideWhenUsed/>
    <w:rsid w:val="0027399F"/>
    <w:pPr>
      <w:spacing w:after="0"/>
      <w:ind w:left="1320"/>
    </w:pPr>
    <w:rPr>
      <w:rFonts w:cstheme="minorHAnsi"/>
      <w:sz w:val="20"/>
      <w:szCs w:val="20"/>
    </w:rPr>
  </w:style>
  <w:style w:type="paragraph" w:styleId="TOC8">
    <w:name w:val="toc 8"/>
    <w:basedOn w:val="Normal"/>
    <w:next w:val="Normal"/>
    <w:autoRedefine/>
    <w:uiPriority w:val="39"/>
    <w:semiHidden/>
    <w:unhideWhenUsed/>
    <w:rsid w:val="0027399F"/>
    <w:pPr>
      <w:spacing w:after="0"/>
      <w:ind w:left="1540"/>
    </w:pPr>
    <w:rPr>
      <w:rFonts w:cstheme="minorHAnsi"/>
      <w:sz w:val="20"/>
      <w:szCs w:val="20"/>
    </w:rPr>
  </w:style>
  <w:style w:type="paragraph" w:styleId="TOC9">
    <w:name w:val="toc 9"/>
    <w:basedOn w:val="Normal"/>
    <w:next w:val="Normal"/>
    <w:autoRedefine/>
    <w:uiPriority w:val="39"/>
    <w:semiHidden/>
    <w:unhideWhenUsed/>
    <w:rsid w:val="0027399F"/>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5225941">
      <w:bodyDiv w:val="1"/>
      <w:marLeft w:val="0"/>
      <w:marRight w:val="0"/>
      <w:marTop w:val="0"/>
      <w:marBottom w:val="0"/>
      <w:divBdr>
        <w:top w:val="none" w:sz="0" w:space="0" w:color="auto"/>
        <w:left w:val="none" w:sz="0" w:space="0" w:color="auto"/>
        <w:bottom w:val="none" w:sz="0" w:space="0" w:color="auto"/>
        <w:right w:val="none" w:sz="0" w:space="0" w:color="auto"/>
      </w:divBdr>
      <w:divsChild>
        <w:div w:id="1518739784">
          <w:marLeft w:val="0"/>
          <w:marRight w:val="0"/>
          <w:marTop w:val="0"/>
          <w:marBottom w:val="0"/>
          <w:divBdr>
            <w:top w:val="none" w:sz="0" w:space="0" w:color="auto"/>
            <w:left w:val="none" w:sz="0" w:space="0" w:color="auto"/>
            <w:bottom w:val="none" w:sz="0" w:space="0" w:color="auto"/>
            <w:right w:val="none" w:sz="0" w:space="0" w:color="auto"/>
          </w:divBdr>
          <w:divsChild>
            <w:div w:id="1902328048">
              <w:marLeft w:val="0"/>
              <w:marRight w:val="0"/>
              <w:marTop w:val="0"/>
              <w:marBottom w:val="0"/>
              <w:divBdr>
                <w:top w:val="none" w:sz="0" w:space="0" w:color="auto"/>
                <w:left w:val="none" w:sz="0" w:space="0" w:color="auto"/>
                <w:bottom w:val="none" w:sz="0" w:space="0" w:color="auto"/>
                <w:right w:val="none" w:sz="0" w:space="0" w:color="auto"/>
              </w:divBdr>
              <w:divsChild>
                <w:div w:id="1069226632">
                  <w:marLeft w:val="0"/>
                  <w:marRight w:val="0"/>
                  <w:marTop w:val="0"/>
                  <w:marBottom w:val="0"/>
                  <w:divBdr>
                    <w:top w:val="none" w:sz="0" w:space="0" w:color="auto"/>
                    <w:left w:val="none" w:sz="0" w:space="0" w:color="auto"/>
                    <w:bottom w:val="none" w:sz="0" w:space="0" w:color="auto"/>
                    <w:right w:val="none" w:sz="0" w:space="0" w:color="auto"/>
                  </w:divBdr>
                  <w:divsChild>
                    <w:div w:id="116486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npm.sg/" TargetMode="External"/><Relationship Id="rId21" Type="http://schemas.openxmlformats.org/officeDocument/2006/relationships/hyperlink" Target="https://doi.org/10.1093/nar/gkaf394" TargetMode="External"/><Relationship Id="rId42" Type="http://schemas.openxmlformats.org/officeDocument/2006/relationships/image" Target="media/image4.png"/><Relationship Id="rId47" Type="http://schemas.openxmlformats.org/officeDocument/2006/relationships/hyperlink" Target="https://www.cdisc.org/sites/default/files/2025-05/6B%20CDISC%202025-6B-Fitting%20multi-omics%20into%20SDTM.pdf" TargetMode="External"/><Relationship Id="rId63" Type="http://schemas.openxmlformats.org/officeDocument/2006/relationships/hyperlink" Target="https://biocomputeobject.org/" TargetMode="External"/><Relationship Id="rId68" Type="http://schemas.openxmlformats.org/officeDocument/2006/relationships/hyperlink" Target="https://github.com/nextflow-io/nf-prov" TargetMode="External"/><Relationship Id="rId16" Type="http://schemas.openxmlformats.org/officeDocument/2006/relationships/hyperlink" Target="https://arpa-h.gov/explore-funding/programs/arpa-h-bdf-toolbox" TargetMode="External"/><Relationship Id="rId11" Type="http://schemas.openxmlformats.org/officeDocument/2006/relationships/image" Target="media/image1.png"/><Relationship Id="rId24" Type="http://schemas.openxmlformats.org/officeDocument/2006/relationships/hyperlink" Target="https://www.fda.gov/regulatory-information/search-fda-guidance-documents/study-data-technical-conformance-guide-technical-specifications-document" TargetMode="External"/><Relationship Id="rId32" Type="http://schemas.openxmlformats.org/officeDocument/2006/relationships/hyperlink" Target="https://biocomputeobject.org/" TargetMode="External"/><Relationship Id="rId37" Type="http://schemas.openxmlformats.org/officeDocument/2006/relationships/hyperlink" Target="https://github.com/nextflow-io/nf-prov" TargetMode="External"/><Relationship Id="rId40" Type="http://schemas.openxmlformats.org/officeDocument/2006/relationships/hyperlink" Target="https://doi.org/10.1038/nmeth.3252" TargetMode="External"/><Relationship Id="rId45" Type="http://schemas.openxmlformats.org/officeDocument/2006/relationships/hyperlink" Target="https://standards.ieee.org/ieee/2791/7337/" TargetMode="External"/><Relationship Id="rId53" Type="http://schemas.openxmlformats.org/officeDocument/2006/relationships/hyperlink" Target="https://doi.org/10.1093/nar/gkaf394" TargetMode="External"/><Relationship Id="rId58" Type="http://schemas.openxmlformats.org/officeDocument/2006/relationships/hyperlink" Target="https://www.npm.sg/" TargetMode="External"/><Relationship Id="rId66" Type="http://schemas.openxmlformats.org/officeDocument/2006/relationships/hyperlink" Target="https://20779781.fs1.hubspotusercontent-na1.net/hubfs/20779781/Webinar-Recordings/BCOnexus%20webinar%205-8-25.mp4" TargetMode="External"/><Relationship Id="rId74" Type="http://schemas.openxmlformats.org/officeDocument/2006/relationships/hyperlink" Target="mailto:bronkisler@icloud.com"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federalregister.gov/documents/2020/07/22/2020-15771/electronic-submissions-data-standards-support-for-the-international-institute-of-electrical-and" TargetMode="External"/><Relationship Id="rId19" Type="http://schemas.openxmlformats.org/officeDocument/2006/relationships/hyperlink" Target="https://pmc.ncbi.nlm.nih.gov/articles/PMC7003173/" TargetMode="External"/><Relationship Id="rId14" Type="http://schemas.openxmlformats.org/officeDocument/2006/relationships/hyperlink" Target="https://www.fda.gov/medical-devices/in-vitro-diagnostics/precision-medicine" TargetMode="External"/><Relationship Id="rId22" Type="http://schemas.openxmlformats.org/officeDocument/2006/relationships/hyperlink" Target="http://www.nature.com/nbt/journal/v35/n4/full/nbt.3820.html" TargetMode="External"/><Relationship Id="rId27" Type="http://schemas.openxmlformats.org/officeDocument/2006/relationships/hyperlink" Target="https://genomecanada.ca/challenge-areas/canadian-precision-health-initiative/" TargetMode="External"/><Relationship Id="rId30" Type="http://schemas.openxmlformats.org/officeDocument/2006/relationships/hyperlink" Target="https://www.federalregister.gov/documents/2020/07/22/2020-15771/electronic-submissions-data-standards-support-for-the-international-institute-of-electrical-and" TargetMode="External"/><Relationship Id="rId35" Type="http://schemas.openxmlformats.org/officeDocument/2006/relationships/hyperlink" Target="https://20779781.fs1.hubspotusercontent-na1.net/hubfs/20779781/Webinar-Recordings/BCOnexus%20webinar%205-8-25.mp4" TargetMode="External"/><Relationship Id="rId43" Type="http://schemas.openxmlformats.org/officeDocument/2006/relationships/image" Target="media/image5.png"/><Relationship Id="rId48" Type="http://schemas.openxmlformats.org/officeDocument/2006/relationships/hyperlink" Target="https://arpa-h.gov/explore-funding/programs/arpa-h-bdf-toolbox" TargetMode="External"/><Relationship Id="rId56" Type="http://schemas.openxmlformats.org/officeDocument/2006/relationships/hyperlink" Target="https://www.fda.gov/regulatory-information/search-fda-guidance-documents/study-data-technical-conformance-guide-technical-specifications-document" TargetMode="External"/><Relationship Id="rId64" Type="http://schemas.openxmlformats.org/officeDocument/2006/relationships/hyperlink" Target="https://github.com/NovoNordisk-OpenSource/whirl/blob/main/R/biocompute.R" TargetMode="External"/><Relationship Id="rId69" Type="http://schemas.openxmlformats.org/officeDocument/2006/relationships/hyperlink" Target="https://biocompute-objects.github.io/bco-rag/" TargetMode="External"/><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pmc.ncbi.nlm.nih.gov/articles/PMC7003173/" TargetMode="External"/><Relationship Id="rId72" Type="http://schemas.openxmlformats.org/officeDocument/2006/relationships/hyperlink" Target="mailto:mehdi.harek@bms.com" TargetMode="External"/><Relationship Id="rId3" Type="http://schemas.openxmlformats.org/officeDocument/2006/relationships/customXml" Target="../customXml/item3.xml"/><Relationship Id="rId12" Type="http://schemas.openxmlformats.org/officeDocument/2006/relationships/hyperlink" Target="https://www.iso.org/committee/7546903.html" TargetMode="External"/><Relationship Id="rId17" Type="http://schemas.openxmlformats.org/officeDocument/2006/relationships/hyperlink" Target="https://dnahive.com/feast-and-the-arpa-h-bdf-toolbox.html" TargetMode="External"/><Relationship Id="rId25" Type="http://schemas.openxmlformats.org/officeDocument/2006/relationships/hyperlink" Target="https://www.fda.gov/industry/create-esg-account/frequently-asked-questions" TargetMode="External"/><Relationship Id="rId33" Type="http://schemas.openxmlformats.org/officeDocument/2006/relationships/hyperlink" Target="https://github.com/NovoNordisk-OpenSource/whirl/blob/main/R/biocompute.R" TargetMode="External"/><Relationship Id="rId38" Type="http://schemas.openxmlformats.org/officeDocument/2006/relationships/hyperlink" Target="https://biocompute-objects.github.io/bco-rag/" TargetMode="External"/><Relationship Id="rId46" Type="http://schemas.openxmlformats.org/officeDocument/2006/relationships/hyperlink" Target="https://www.fda.gov/medical-devices/in-vitro-diagnostics/precision-medicine" TargetMode="External"/><Relationship Id="rId59" Type="http://schemas.openxmlformats.org/officeDocument/2006/relationships/hyperlink" Target="https://genomecanada.ca/challenge-areas/canadian-precision-health-initiative/" TargetMode="External"/><Relationship Id="rId67" Type="http://schemas.openxmlformats.org/officeDocument/2006/relationships/hyperlink" Target="https://info.velsera.com/unlocking-biocompute-objects-advancing-interoperability-and-regulatory-excellence-ondemand" TargetMode="External"/><Relationship Id="rId20" Type="http://schemas.openxmlformats.org/officeDocument/2006/relationships/hyperlink" Target="https://doi.org/10.1371/journal.pcbi.1012901" TargetMode="External"/><Relationship Id="rId41" Type="http://schemas.openxmlformats.org/officeDocument/2006/relationships/hyperlink" Target="https://doi.org/10.1158/0008-5472.can-17-0344" TargetMode="External"/><Relationship Id="rId54" Type="http://schemas.openxmlformats.org/officeDocument/2006/relationships/hyperlink" Target="http://www.nature.com/nbt/journal/v35/n4/full/nbt.3820.html" TargetMode="External"/><Relationship Id="rId62" Type="http://schemas.openxmlformats.org/officeDocument/2006/relationships/hyperlink" Target="https://opensource.ieee.org/2791-object/ieee-2791-schema/" TargetMode="External"/><Relationship Id="rId70" Type="http://schemas.openxmlformats.org/officeDocument/2006/relationships/hyperlink" Target="https://doi.org/10.1038/nmeth.3252" TargetMode="External"/><Relationship Id="rId75" Type="http://schemas.openxmlformats.org/officeDocument/2006/relationships/hyperlink" Target="mailto:ash23shan@yahoo.co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cdisc.org/sites/default/files/2025-05/6B%20CDISC%202025-6B-Fitting%20multi-omics%20into%20SDTM.pdf" TargetMode="External"/><Relationship Id="rId23" Type="http://schemas.openxmlformats.org/officeDocument/2006/relationships/hyperlink" Target="https://www.commonwl.org/" TargetMode="External"/><Relationship Id="rId28" Type="http://schemas.openxmlformats.org/officeDocument/2006/relationships/hyperlink" Target="https://www.grandviewresearch.com/research-insights/middle-east-personalized-medicine-industry-insights" TargetMode="External"/><Relationship Id="rId36" Type="http://schemas.openxmlformats.org/officeDocument/2006/relationships/hyperlink" Target="https://info.velsera.com/unlocking-biocompute-objects-advancing-interoperability-and-regulatory-excellence-ondemand" TargetMode="External"/><Relationship Id="rId49" Type="http://schemas.openxmlformats.org/officeDocument/2006/relationships/hyperlink" Target="https://dnahive.com/feast-and-the-arpa-h-bdf-toolbox.html" TargetMode="External"/><Relationship Id="rId57" Type="http://schemas.openxmlformats.org/officeDocument/2006/relationships/hyperlink" Target="https://www.fda.gov/industry/create-esg-account/frequently-asked-questions" TargetMode="External"/><Relationship Id="rId10" Type="http://schemas.openxmlformats.org/officeDocument/2006/relationships/endnotes" Target="endnotes.xml"/><Relationship Id="rId31" Type="http://schemas.openxmlformats.org/officeDocument/2006/relationships/hyperlink" Target="https://opensource.ieee.org/2791-object/ieee-2791-schema/" TargetMode="External"/><Relationship Id="rId44" Type="http://schemas.openxmlformats.org/officeDocument/2006/relationships/hyperlink" Target="https://www.iso.org/committee/7546903.html" TargetMode="External"/><Relationship Id="rId52" Type="http://schemas.openxmlformats.org/officeDocument/2006/relationships/hyperlink" Target="https://doi.org/10.1371/journal.pcbi.1012901" TargetMode="External"/><Relationship Id="rId60" Type="http://schemas.openxmlformats.org/officeDocument/2006/relationships/hyperlink" Target="https://www.grandviewresearch.com/research-insights/middle-east-personalized-medicine-industry-insights" TargetMode="External"/><Relationship Id="rId65" Type="http://schemas.openxmlformats.org/officeDocument/2006/relationships/hyperlink" Target="https://cran.r-project.org/web/packages/biocompute/index.html" TargetMode="External"/><Relationship Id="rId73" Type="http://schemas.openxmlformats.org/officeDocument/2006/relationships/hyperlink" Target="mailto:keeneyjg@gwu.edu"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standards.ieee.org/ieee/2791/7337/" TargetMode="External"/><Relationship Id="rId18" Type="http://schemas.openxmlformats.org/officeDocument/2006/relationships/hyperlink" Target="https://arxiv.org/pdf/2501.17729" TargetMode="External"/><Relationship Id="rId39" Type="http://schemas.openxmlformats.org/officeDocument/2006/relationships/image" Target="media/image3.png"/><Relationship Id="rId34" Type="http://schemas.openxmlformats.org/officeDocument/2006/relationships/hyperlink" Target="https://20779781.fs1.hubspotusercontent-na1.net/hubfs/20779781/Webinar-Recordings/BCOnexus%20webinar%205-8-25.mp4" TargetMode="External"/><Relationship Id="rId50" Type="http://schemas.openxmlformats.org/officeDocument/2006/relationships/hyperlink" Target="https://arxiv.org/pdf/2501.17729" TargetMode="External"/><Relationship Id="rId55" Type="http://schemas.openxmlformats.org/officeDocument/2006/relationships/hyperlink" Target="https://www.commonwl.org/" TargetMode="External"/><Relationship Id="rId76"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doi.org/10.1158/0008-5472.can-17-0344" TargetMode="External"/><Relationship Id="rId2" Type="http://schemas.openxmlformats.org/officeDocument/2006/relationships/customXml" Target="../customXml/item2.xml"/><Relationship Id="rId2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4BEFBB9781B3F4C95DDC55766020D69" ma:contentTypeVersion="6" ma:contentTypeDescription="Create a new document." ma:contentTypeScope="" ma:versionID="b453d3498abcf3720ca31ea63834d85a">
  <xsd:schema xmlns:xsd="http://www.w3.org/2001/XMLSchema" xmlns:xs="http://www.w3.org/2001/XMLSchema" xmlns:p="http://schemas.microsoft.com/office/2006/metadata/properties" xmlns:ns2="f2cb3943-f450-4615-b027-4dc9dff051c1" xmlns:ns3="413287c2-c033-41e8-8e6b-8d7f205367b0" targetNamespace="http://schemas.microsoft.com/office/2006/metadata/properties" ma:root="true" ma:fieldsID="042aa065fcfd31439311ce2d3edc62f8" ns2:_="" ns3:_="">
    <xsd:import namespace="f2cb3943-f450-4615-b027-4dc9dff051c1"/>
    <xsd:import namespace="413287c2-c033-41e8-8e6b-8d7f205367b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cb3943-f450-4615-b027-4dc9dff051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3287c2-c033-41e8-8e6b-8d7f205367b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C6DC5E-A08B-FF43-A4C6-19FF150FBD9E}">
  <ds:schemaRefs>
    <ds:schemaRef ds:uri="http://schemas.openxmlformats.org/officeDocument/2006/bibliography"/>
  </ds:schemaRefs>
</ds:datastoreItem>
</file>

<file path=customXml/itemProps2.xml><?xml version="1.0" encoding="utf-8"?>
<ds:datastoreItem xmlns:ds="http://schemas.openxmlformats.org/officeDocument/2006/customXml" ds:itemID="{503CC69E-0E4B-41D9-B1EF-2A16615684A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0956862-4DBA-4CBB-9E24-D40540D127EB}">
  <ds:schemaRefs>
    <ds:schemaRef ds:uri="http://schemas.microsoft.com/sharepoint/v3/contenttype/forms"/>
  </ds:schemaRefs>
</ds:datastoreItem>
</file>

<file path=customXml/itemProps4.xml><?xml version="1.0" encoding="utf-8"?>
<ds:datastoreItem xmlns:ds="http://schemas.openxmlformats.org/officeDocument/2006/customXml" ds:itemID="{E4DF8260-183E-49EE-BF67-87EB2AF673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cb3943-f450-4615-b027-4dc9dff051c1"/>
    <ds:schemaRef ds:uri="413287c2-c033-41e8-8e6b-8d7f205367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5672</Words>
  <Characters>35227</Characters>
  <Application>Microsoft Office Word</Application>
  <DocSecurity>0</DocSecurity>
  <Lines>597</Lines>
  <Paragraphs>223</Paragraphs>
  <ScaleCrop>false</ScaleCrop>
  <HeadingPairs>
    <vt:vector size="2" baseType="variant">
      <vt:variant>
        <vt:lpstr>Title</vt:lpstr>
      </vt:variant>
      <vt:variant>
        <vt:i4>1</vt:i4>
      </vt:variant>
    </vt:vector>
  </HeadingPairs>
  <TitlesOfParts>
    <vt:vector size="1" baseType="lpstr">
      <vt:lpstr/>
    </vt:vector>
  </TitlesOfParts>
  <Company>Celgene</Company>
  <LinksUpToDate>false</LinksUpToDate>
  <CharactersWithSpaces>40676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dc:creator>
  <cp:lastModifiedBy>Alexandra Pearce</cp:lastModifiedBy>
  <cp:revision>2</cp:revision>
  <dcterms:created xsi:type="dcterms:W3CDTF">2026-03-03T14:41:00Z</dcterms:created>
  <dcterms:modified xsi:type="dcterms:W3CDTF">2026-03-03T14:41:00Z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0x01010094BEFBB9781B3F4C95DDC55766020D69</vt:lpwstr>
  </property>
  <property fmtid="{D5CDD505-2E9C-101B-9397-08002B2CF9AE}" pid="3" name="GrammarlyDocumentId">
    <vt:lpwstr>19a5d14c4443aeea2e14beea9bbae66c40c62761f46511e813401b461745bba3</vt:lpwstr>
  </property>
</Properties>
</file>