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F89B" w14:textId="77777777" w:rsidR="009C58A2" w:rsidRDefault="009C58A2" w:rsidP="00CB6CEA">
      <w:pPr>
        <w:pStyle w:val="Title"/>
        <w:rPr>
          <w:color w:val="C45911" w:themeColor="accent2" w:themeShade="BF"/>
          <w:lang w:val="en-GB"/>
        </w:rPr>
      </w:pPr>
    </w:p>
    <w:p w14:paraId="2304816D" w14:textId="7FC4EF24" w:rsidR="009C58A2" w:rsidRDefault="009C58A2" w:rsidP="009C58A2">
      <w:pPr>
        <w:tabs>
          <w:tab w:val="left" w:pos="1520"/>
        </w:tabs>
        <w:spacing w:before="120" w:after="0" w:line="264" w:lineRule="exact"/>
        <w:ind w:left="101" w:right="-14"/>
        <w:jc w:val="center"/>
        <w:rPr>
          <w:rFonts w:eastAsia="Times New Roman" w:cstheme="minorHAnsi"/>
          <w:i/>
          <w:position w:val="1"/>
          <w:sz w:val="40"/>
          <w:szCs w:val="40"/>
        </w:rPr>
      </w:pPr>
      <w:r w:rsidRPr="006670B3">
        <w:rPr>
          <w:rFonts w:eastAsia="Times New Roman" w:cstheme="minorHAnsi"/>
          <w:i/>
          <w:position w:val="1"/>
          <w:sz w:val="40"/>
          <w:szCs w:val="40"/>
        </w:rPr>
        <w:t>{</w:t>
      </w:r>
      <w:r>
        <w:rPr>
          <w:rFonts w:eastAsia="Times New Roman" w:cstheme="minorHAnsi"/>
          <w:i/>
          <w:position w:val="1"/>
          <w:sz w:val="40"/>
          <w:szCs w:val="40"/>
        </w:rPr>
        <w:t>17-AUGUST-2025</w:t>
      </w:r>
      <w:r w:rsidRPr="006670B3">
        <w:rPr>
          <w:rFonts w:eastAsia="Times New Roman" w:cstheme="minorHAnsi"/>
          <w:i/>
          <w:position w:val="1"/>
          <w:sz w:val="40"/>
          <w:szCs w:val="40"/>
        </w:rPr>
        <w:t>}</w:t>
      </w:r>
    </w:p>
    <w:p w14:paraId="7EE60551" w14:textId="77777777" w:rsidR="009C58A2" w:rsidRDefault="009C58A2" w:rsidP="009C58A2">
      <w:pPr>
        <w:tabs>
          <w:tab w:val="left" w:pos="1520"/>
        </w:tabs>
        <w:spacing w:before="120" w:after="0" w:line="264" w:lineRule="exact"/>
        <w:ind w:left="101" w:right="-14"/>
        <w:jc w:val="center"/>
        <w:rPr>
          <w:rFonts w:eastAsia="Times New Roman" w:cstheme="minorHAnsi"/>
          <w:i/>
          <w:position w:val="1"/>
          <w:sz w:val="40"/>
          <w:szCs w:val="40"/>
        </w:rPr>
      </w:pPr>
    </w:p>
    <w:p w14:paraId="7AB70888" w14:textId="31F3411B" w:rsidR="009C58A2" w:rsidRPr="009C58A2" w:rsidRDefault="009C58A2" w:rsidP="009C58A2">
      <w:pPr>
        <w:pStyle w:val="Title"/>
        <w:jc w:val="center"/>
        <w:rPr>
          <w:rFonts w:asciiTheme="minorHAnsi" w:eastAsia="Times New Roman" w:hAnsiTheme="minorHAnsi" w:cstheme="minorHAnsi"/>
          <w:i/>
          <w:spacing w:val="0"/>
          <w:kern w:val="0"/>
          <w:position w:val="1"/>
          <w:sz w:val="40"/>
          <w:szCs w:val="40"/>
        </w:rPr>
      </w:pPr>
      <w:r w:rsidRPr="009C58A2">
        <w:rPr>
          <w:rFonts w:asciiTheme="minorHAnsi" w:eastAsia="Times New Roman" w:hAnsiTheme="minorHAnsi" w:cstheme="minorHAnsi"/>
          <w:i/>
          <w:spacing w:val="0"/>
          <w:kern w:val="0"/>
          <w:position w:val="1"/>
          <w:sz w:val="40"/>
          <w:szCs w:val="40"/>
        </w:rPr>
        <w:t>Cloud Services</w:t>
      </w:r>
      <w:r>
        <w:rPr>
          <w:rFonts w:asciiTheme="minorHAnsi" w:eastAsia="Times New Roman" w:hAnsiTheme="minorHAnsi" w:cstheme="minorHAnsi"/>
          <w:i/>
          <w:spacing w:val="0"/>
          <w:kern w:val="0"/>
          <w:position w:val="1"/>
          <w:sz w:val="40"/>
          <w:szCs w:val="40"/>
        </w:rPr>
        <w:t>,</w:t>
      </w:r>
    </w:p>
    <w:p w14:paraId="3BA64851" w14:textId="7F1B5F04" w:rsidR="009C58A2" w:rsidRDefault="009C58A2" w:rsidP="009C58A2">
      <w:pPr>
        <w:pStyle w:val="Title"/>
        <w:jc w:val="center"/>
        <w:rPr>
          <w:color w:val="C45911" w:themeColor="accent2" w:themeShade="BF"/>
          <w:lang w:val="en-GB"/>
        </w:rPr>
      </w:pPr>
      <w:r w:rsidRPr="009C58A2">
        <w:rPr>
          <w:rFonts w:asciiTheme="minorHAnsi" w:eastAsia="Times New Roman" w:hAnsiTheme="minorHAnsi" w:cstheme="minorHAnsi"/>
          <w:i/>
          <w:spacing w:val="0"/>
          <w:kern w:val="0"/>
          <w:position w:val="1"/>
          <w:sz w:val="40"/>
          <w:szCs w:val="40"/>
        </w:rPr>
        <w:t>A Framework for Adoption in the Regulated Life Sciences Industry</w:t>
      </w:r>
    </w:p>
    <w:p w14:paraId="48B60E65" w14:textId="77777777" w:rsidR="009C58A2" w:rsidRDefault="009C58A2" w:rsidP="00CB6CEA">
      <w:pPr>
        <w:pStyle w:val="Title"/>
        <w:rPr>
          <w:color w:val="C45911" w:themeColor="accent2" w:themeShade="BF"/>
          <w:lang w:val="en-GB"/>
        </w:rPr>
      </w:pPr>
    </w:p>
    <w:p w14:paraId="40FAA401" w14:textId="77777777" w:rsidR="009C58A2" w:rsidRDefault="009C58A2" w:rsidP="009C58A2">
      <w:pPr>
        <w:spacing w:after="0" w:line="240" w:lineRule="auto"/>
        <w:ind w:left="120" w:right="-20"/>
        <w:rPr>
          <w:rFonts w:ascii="Cambria" w:eastAsia="Cambria" w:hAnsi="Cambria" w:cs="Cambria"/>
        </w:rPr>
      </w:pPr>
      <w:r>
        <w:rPr>
          <w:rFonts w:ascii="Cambria" w:eastAsia="Cambria" w:hAnsi="Cambria" w:cs="Cambria"/>
          <w:b/>
          <w:bCs/>
        </w:rPr>
        <w:t>R</w:t>
      </w:r>
      <w:r>
        <w:rPr>
          <w:rFonts w:ascii="Cambria" w:eastAsia="Cambria" w:hAnsi="Cambria" w:cs="Cambria"/>
          <w:b/>
          <w:bCs/>
          <w:spacing w:val="1"/>
        </w:rPr>
        <w:t>e</w:t>
      </w:r>
      <w:r>
        <w:rPr>
          <w:rFonts w:ascii="Cambria" w:eastAsia="Cambria" w:hAnsi="Cambria" w:cs="Cambria"/>
          <w:b/>
          <w:bCs/>
        </w:rPr>
        <w:t>vi</w:t>
      </w:r>
      <w:r>
        <w:rPr>
          <w:rFonts w:ascii="Cambria" w:eastAsia="Cambria" w:hAnsi="Cambria" w:cs="Cambria"/>
          <w:b/>
          <w:bCs/>
          <w:spacing w:val="-1"/>
        </w:rPr>
        <w:t>s</w:t>
      </w:r>
      <w:r>
        <w:rPr>
          <w:rFonts w:ascii="Cambria" w:eastAsia="Cambria" w:hAnsi="Cambria" w:cs="Cambria"/>
          <w:b/>
          <w:bCs/>
        </w:rPr>
        <w:t>i</w:t>
      </w:r>
      <w:r>
        <w:rPr>
          <w:rFonts w:ascii="Cambria" w:eastAsia="Cambria" w:hAnsi="Cambria" w:cs="Cambria"/>
          <w:b/>
          <w:bCs/>
          <w:spacing w:val="-3"/>
        </w:rPr>
        <w:t>o</w:t>
      </w:r>
      <w:r>
        <w:rPr>
          <w:rFonts w:ascii="Cambria" w:eastAsia="Cambria" w:hAnsi="Cambria" w:cs="Cambria"/>
          <w:b/>
          <w:bCs/>
        </w:rPr>
        <w:t>n</w:t>
      </w:r>
      <w:r>
        <w:rPr>
          <w:rFonts w:ascii="Cambria" w:eastAsia="Cambria" w:hAnsi="Cambria" w:cs="Cambria"/>
          <w:b/>
          <w:bCs/>
          <w:spacing w:val="1"/>
        </w:rPr>
        <w:t xml:space="preserve"> </w:t>
      </w:r>
      <w:r>
        <w:rPr>
          <w:rFonts w:ascii="Cambria" w:eastAsia="Cambria" w:hAnsi="Cambria" w:cs="Cambria"/>
          <w:b/>
          <w:bCs/>
          <w:spacing w:val="-1"/>
        </w:rPr>
        <w:t>H</w:t>
      </w:r>
      <w:r>
        <w:rPr>
          <w:rFonts w:ascii="Cambria" w:eastAsia="Cambria" w:hAnsi="Cambria" w:cs="Cambria"/>
          <w:b/>
          <w:bCs/>
        </w:rPr>
        <w:t>i</w:t>
      </w:r>
      <w:r>
        <w:rPr>
          <w:rFonts w:ascii="Cambria" w:eastAsia="Cambria" w:hAnsi="Cambria" w:cs="Cambria"/>
          <w:b/>
          <w:bCs/>
          <w:spacing w:val="-1"/>
        </w:rPr>
        <w:t>s</w:t>
      </w:r>
      <w:r>
        <w:rPr>
          <w:rFonts w:ascii="Cambria" w:eastAsia="Cambria" w:hAnsi="Cambria" w:cs="Cambria"/>
          <w:b/>
          <w:bCs/>
          <w:spacing w:val="1"/>
        </w:rPr>
        <w:t>t</w:t>
      </w:r>
      <w:r>
        <w:rPr>
          <w:rFonts w:ascii="Cambria" w:eastAsia="Cambria" w:hAnsi="Cambria" w:cs="Cambria"/>
          <w:b/>
          <w:bCs/>
          <w:spacing w:val="-1"/>
        </w:rPr>
        <w:t>or</w:t>
      </w:r>
      <w:r>
        <w:rPr>
          <w:rFonts w:ascii="Cambria" w:eastAsia="Cambria" w:hAnsi="Cambria" w:cs="Cambria"/>
          <w:b/>
          <w:bCs/>
        </w:rPr>
        <w:t>y</w:t>
      </w:r>
    </w:p>
    <w:tbl>
      <w:tblPr>
        <w:tblW w:w="0" w:type="auto"/>
        <w:tblInd w:w="109" w:type="dxa"/>
        <w:tblLayout w:type="fixed"/>
        <w:tblCellMar>
          <w:left w:w="0" w:type="dxa"/>
          <w:right w:w="0" w:type="dxa"/>
        </w:tblCellMar>
        <w:tblLook w:val="01E0" w:firstRow="1" w:lastRow="1" w:firstColumn="1" w:lastColumn="1" w:noHBand="0" w:noVBand="0"/>
      </w:tblPr>
      <w:tblGrid>
        <w:gridCol w:w="1236"/>
        <w:gridCol w:w="1350"/>
        <w:gridCol w:w="6145"/>
      </w:tblGrid>
      <w:tr w:rsidR="009C58A2" w14:paraId="03F98978" w14:textId="77777777" w:rsidTr="00B04B03">
        <w:trPr>
          <w:trHeight w:hRule="exact" w:val="266"/>
        </w:trPr>
        <w:tc>
          <w:tcPr>
            <w:tcW w:w="1236" w:type="dxa"/>
            <w:tcBorders>
              <w:top w:val="single" w:sz="4" w:space="0" w:color="000000"/>
              <w:left w:val="single" w:sz="4" w:space="0" w:color="000000"/>
              <w:bottom w:val="single" w:sz="4" w:space="0" w:color="000000"/>
              <w:right w:val="single" w:sz="4" w:space="0" w:color="000000"/>
            </w:tcBorders>
            <w:shd w:val="clear" w:color="auto" w:fill="C1C1C1"/>
          </w:tcPr>
          <w:p w14:paraId="6A727FD2" w14:textId="77777777" w:rsidR="009C58A2" w:rsidRDefault="009C58A2" w:rsidP="00B04B03">
            <w:pPr>
              <w:spacing w:after="0" w:line="255" w:lineRule="exact"/>
              <w:ind w:left="102" w:right="-20"/>
              <w:rPr>
                <w:rFonts w:ascii="Cambria" w:eastAsia="Cambria" w:hAnsi="Cambria" w:cs="Cambria"/>
              </w:rPr>
            </w:pPr>
            <w:r>
              <w:rPr>
                <w:rFonts w:ascii="Cambria" w:eastAsia="Cambria" w:hAnsi="Cambria" w:cs="Cambria"/>
                <w:b/>
                <w:bCs/>
              </w:rPr>
              <w:t>Version</w:t>
            </w:r>
          </w:p>
        </w:tc>
        <w:tc>
          <w:tcPr>
            <w:tcW w:w="1350" w:type="dxa"/>
            <w:tcBorders>
              <w:top w:val="single" w:sz="4" w:space="0" w:color="000000"/>
              <w:left w:val="single" w:sz="4" w:space="0" w:color="000000"/>
              <w:bottom w:val="single" w:sz="4" w:space="0" w:color="000000"/>
              <w:right w:val="single" w:sz="4" w:space="0" w:color="000000"/>
            </w:tcBorders>
            <w:shd w:val="clear" w:color="auto" w:fill="C1C1C1"/>
          </w:tcPr>
          <w:p w14:paraId="459E83BD" w14:textId="77777777" w:rsidR="009C58A2" w:rsidRDefault="009C58A2" w:rsidP="00B04B03">
            <w:pPr>
              <w:spacing w:after="0" w:line="255" w:lineRule="exact"/>
              <w:ind w:right="-20"/>
              <w:rPr>
                <w:rFonts w:ascii="Cambria" w:eastAsia="Cambria" w:hAnsi="Cambria" w:cs="Cambria"/>
              </w:rPr>
            </w:pPr>
            <w:r>
              <w:rPr>
                <w:rFonts w:ascii="Cambria" w:eastAsia="Cambria" w:hAnsi="Cambria" w:cs="Cambria"/>
                <w:b/>
                <w:bCs/>
                <w:spacing w:val="-1"/>
              </w:rPr>
              <w:t xml:space="preserve"> Date</w:t>
            </w:r>
          </w:p>
        </w:tc>
        <w:tc>
          <w:tcPr>
            <w:tcW w:w="6145" w:type="dxa"/>
            <w:tcBorders>
              <w:top w:val="single" w:sz="4" w:space="0" w:color="000000"/>
              <w:left w:val="single" w:sz="4" w:space="0" w:color="000000"/>
              <w:bottom w:val="single" w:sz="4" w:space="0" w:color="000000"/>
              <w:right w:val="single" w:sz="4" w:space="0" w:color="000000"/>
            </w:tcBorders>
            <w:shd w:val="clear" w:color="auto" w:fill="C1C1C1"/>
          </w:tcPr>
          <w:p w14:paraId="6D30CB70" w14:textId="77777777" w:rsidR="009C58A2" w:rsidRDefault="009C58A2" w:rsidP="00B04B03">
            <w:pPr>
              <w:spacing w:after="0" w:line="255" w:lineRule="exact"/>
              <w:ind w:left="100" w:right="-20"/>
              <w:rPr>
                <w:rFonts w:ascii="Cambria" w:eastAsia="Cambria" w:hAnsi="Cambria" w:cs="Cambria"/>
              </w:rPr>
            </w:pPr>
            <w:r>
              <w:rPr>
                <w:rFonts w:ascii="Cambria" w:eastAsia="Cambria" w:hAnsi="Cambria" w:cs="Cambria"/>
                <w:b/>
                <w:bCs/>
              </w:rPr>
              <w:t>Summ</w:t>
            </w:r>
            <w:r>
              <w:rPr>
                <w:rFonts w:ascii="Cambria" w:eastAsia="Cambria" w:hAnsi="Cambria" w:cs="Cambria"/>
                <w:b/>
                <w:bCs/>
                <w:spacing w:val="-1"/>
              </w:rPr>
              <w:t>ar</w:t>
            </w:r>
            <w:r>
              <w:rPr>
                <w:rFonts w:ascii="Cambria" w:eastAsia="Cambria" w:hAnsi="Cambria" w:cs="Cambria"/>
                <w:b/>
                <w:bCs/>
              </w:rPr>
              <w:t>y</w:t>
            </w:r>
          </w:p>
        </w:tc>
      </w:tr>
      <w:tr w:rsidR="009C58A2" w14:paraId="1E6AA697" w14:textId="77777777" w:rsidTr="00B04B03">
        <w:trPr>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171B64C9" w14:textId="4E940DD7" w:rsidR="009C58A2" w:rsidRDefault="009C58A2" w:rsidP="00B04B03">
            <w:pPr>
              <w:spacing w:after="0" w:line="257" w:lineRule="exact"/>
              <w:ind w:left="102" w:right="-20"/>
              <w:rPr>
                <w:rFonts w:ascii="Cambria" w:eastAsia="Cambria" w:hAnsi="Cambria" w:cs="Cambria"/>
              </w:rPr>
            </w:pPr>
            <w:r>
              <w:rPr>
                <w:rFonts w:ascii="Cambria" w:eastAsia="Cambria" w:hAnsi="Cambria" w:cs="Cambria"/>
              </w:rPr>
              <w:t>0.1</w:t>
            </w:r>
          </w:p>
        </w:tc>
        <w:tc>
          <w:tcPr>
            <w:tcW w:w="1350" w:type="dxa"/>
            <w:tcBorders>
              <w:top w:val="single" w:sz="4" w:space="0" w:color="000000"/>
              <w:left w:val="single" w:sz="4" w:space="0" w:color="000000"/>
              <w:bottom w:val="single" w:sz="4" w:space="0" w:color="000000"/>
              <w:right w:val="single" w:sz="4" w:space="0" w:color="000000"/>
            </w:tcBorders>
          </w:tcPr>
          <w:p w14:paraId="10F64299" w14:textId="372879B0" w:rsidR="009C58A2" w:rsidRDefault="009C58A2" w:rsidP="00B04B03">
            <w:pPr>
              <w:spacing w:after="0" w:line="257" w:lineRule="exact"/>
              <w:ind w:left="102" w:right="-20"/>
              <w:rPr>
                <w:rFonts w:ascii="Cambria" w:eastAsia="Cambria" w:hAnsi="Cambria" w:cs="Cambria"/>
              </w:rPr>
            </w:pPr>
            <w:r>
              <w:rPr>
                <w:rFonts w:ascii="Cambria" w:eastAsia="Cambria" w:hAnsi="Cambria" w:cs="Cambria"/>
              </w:rPr>
              <w:t>17-08-2025</w:t>
            </w:r>
          </w:p>
        </w:tc>
        <w:tc>
          <w:tcPr>
            <w:tcW w:w="6145" w:type="dxa"/>
            <w:tcBorders>
              <w:top w:val="single" w:sz="4" w:space="0" w:color="000000"/>
              <w:left w:val="single" w:sz="4" w:space="0" w:color="000000"/>
              <w:bottom w:val="single" w:sz="4" w:space="0" w:color="000000"/>
              <w:right w:val="single" w:sz="4" w:space="0" w:color="000000"/>
            </w:tcBorders>
          </w:tcPr>
          <w:p w14:paraId="52659750" w14:textId="581FB2FE" w:rsidR="009C58A2" w:rsidRDefault="009C58A2" w:rsidP="00B04B03">
            <w:pPr>
              <w:spacing w:after="0" w:line="257" w:lineRule="exact"/>
              <w:ind w:right="-20"/>
              <w:rPr>
                <w:rFonts w:ascii="Cambria" w:eastAsia="Cambria" w:hAnsi="Cambria" w:cs="Cambria"/>
              </w:rPr>
            </w:pPr>
            <w:r>
              <w:rPr>
                <w:rFonts w:ascii="Cambria" w:eastAsia="Cambria" w:hAnsi="Cambria" w:cs="Cambria"/>
              </w:rPr>
              <w:t xml:space="preserve"> First version</w:t>
            </w:r>
          </w:p>
        </w:tc>
      </w:tr>
    </w:tbl>
    <w:p w14:paraId="4E7788D0" w14:textId="77777777" w:rsidR="009C58A2" w:rsidRPr="009C58A2" w:rsidRDefault="009C58A2" w:rsidP="009C58A2">
      <w:pPr>
        <w:rPr>
          <w:lang w:val="en-GB"/>
        </w:rPr>
      </w:pPr>
    </w:p>
    <w:p w14:paraId="0A3042BA" w14:textId="77777777" w:rsidR="00664AF0" w:rsidRPr="002D197E" w:rsidRDefault="00664AF0" w:rsidP="00664AF0">
      <w:pPr>
        <w:rPr>
          <w:lang w:val="en-GB"/>
        </w:rPr>
      </w:pPr>
    </w:p>
    <w:p w14:paraId="3536246E" w14:textId="77777777" w:rsidR="000B585E" w:rsidRPr="002D197E" w:rsidRDefault="000B585E" w:rsidP="00BC0BA2">
      <w:pPr>
        <w:rPr>
          <w:lang w:val="en-GB"/>
        </w:rPr>
      </w:pPr>
    </w:p>
    <w:p w14:paraId="79204DEC" w14:textId="5D4D8971" w:rsidR="00D307DD" w:rsidRPr="002D197E" w:rsidRDefault="00CB6CEA" w:rsidP="002543FE">
      <w:pPr>
        <w:jc w:val="both"/>
        <w:rPr>
          <w:lang w:val="en-GB"/>
        </w:rPr>
      </w:pPr>
      <w:r w:rsidRPr="002D197E">
        <w:rPr>
          <w:lang w:val="en-GB"/>
        </w:rPr>
        <w:t xml:space="preserve">This document has been developed by the </w:t>
      </w:r>
      <w:r w:rsidR="000757AB">
        <w:rPr>
          <w:lang w:val="en-GB"/>
        </w:rPr>
        <w:t>PHUSE</w:t>
      </w:r>
      <w:r w:rsidRPr="002D197E">
        <w:rPr>
          <w:lang w:val="en-GB"/>
        </w:rPr>
        <w:t xml:space="preserve"> </w:t>
      </w:r>
      <w:r w:rsidR="00070B9F">
        <w:rPr>
          <w:lang w:val="en-GB"/>
        </w:rPr>
        <w:t>Project</w:t>
      </w:r>
      <w:r w:rsidRPr="002D197E">
        <w:rPr>
          <w:lang w:val="en-GB"/>
        </w:rPr>
        <w:t xml:space="preserve"> on Cloud Adoption and is subject to </w:t>
      </w:r>
      <w:r w:rsidR="00D307DD" w:rsidRPr="002D197E">
        <w:rPr>
          <w:lang w:val="en-GB"/>
        </w:rPr>
        <w:t xml:space="preserve">ongoing </w:t>
      </w:r>
      <w:r w:rsidRPr="002D197E">
        <w:rPr>
          <w:lang w:val="en-GB"/>
        </w:rPr>
        <w:t xml:space="preserve">consultation and feedback from all relevant stakeholders.  </w:t>
      </w:r>
    </w:p>
    <w:p w14:paraId="110518A8" w14:textId="782AE3D3" w:rsidR="00CB6CEA" w:rsidRPr="002D197E" w:rsidRDefault="00CB6CEA" w:rsidP="00664AF0">
      <w:pPr>
        <w:jc w:val="both"/>
        <w:rPr>
          <w:lang w:val="en-GB"/>
        </w:rPr>
      </w:pPr>
      <w:r w:rsidRPr="13D80777">
        <w:rPr>
          <w:lang w:val="en-GB"/>
        </w:rPr>
        <w:t>You may submit comments and sugg</w:t>
      </w:r>
      <w:r w:rsidR="00D307DD" w:rsidRPr="13D80777">
        <w:rPr>
          <w:lang w:val="en-GB"/>
        </w:rPr>
        <w:t xml:space="preserve">estions regarding this document </w:t>
      </w:r>
      <w:r w:rsidRPr="13D80777">
        <w:rPr>
          <w:lang w:val="en-GB"/>
        </w:rPr>
        <w:t>to</w:t>
      </w:r>
      <w:r w:rsidR="00D66D4B" w:rsidRPr="13D80777">
        <w:rPr>
          <w:lang w:val="en-GB"/>
        </w:rPr>
        <w:t xml:space="preserve"> </w:t>
      </w:r>
      <w:hyperlink r:id="rId10">
        <w:r w:rsidR="64B3974B" w:rsidRPr="13D80777">
          <w:rPr>
            <w:rStyle w:val="Hyperlink"/>
            <w:lang w:val="en-GB"/>
          </w:rPr>
          <w:t>anders.vidstrup@regionh.dk</w:t>
        </w:r>
      </w:hyperlink>
      <w:r w:rsidR="64B3974B" w:rsidRPr="13D80777">
        <w:rPr>
          <w:lang w:val="en-GB"/>
        </w:rPr>
        <w:t xml:space="preserve"> </w:t>
      </w:r>
      <w:r w:rsidR="004912BB" w:rsidRPr="13D80777">
        <w:rPr>
          <w:lang w:val="en-GB"/>
        </w:rPr>
        <w:t xml:space="preserve"> </w:t>
      </w:r>
    </w:p>
    <w:p w14:paraId="14A799A9" w14:textId="0DECB387" w:rsidR="00664AF0" w:rsidRPr="002D197E" w:rsidRDefault="00664AF0">
      <w:pPr>
        <w:rPr>
          <w:lang w:val="en-GB"/>
        </w:rPr>
      </w:pPr>
    </w:p>
    <w:p w14:paraId="57E882BF" w14:textId="77777777" w:rsidR="00664AF0" w:rsidRPr="002D197E" w:rsidRDefault="00664AF0" w:rsidP="00664AF0">
      <w:pPr>
        <w:rPr>
          <w:lang w:val="en-GB"/>
        </w:rPr>
      </w:pPr>
      <w:r w:rsidRPr="002D197E">
        <w:rPr>
          <w:lang w:val="en-GB"/>
        </w:rPr>
        <w:br w:type="page"/>
      </w:r>
    </w:p>
    <w:p w14:paraId="3275EE4E" w14:textId="77777777" w:rsidR="00664AF0" w:rsidRPr="002D197E" w:rsidRDefault="00664AF0" w:rsidP="00FD207B">
      <w:pPr>
        <w:rPr>
          <w:lang w:val="en-GB"/>
        </w:rPr>
      </w:pPr>
    </w:p>
    <w:sdt>
      <w:sdtPr>
        <w:rPr>
          <w:rFonts w:asciiTheme="minorHAnsi" w:eastAsiaTheme="minorEastAsia" w:hAnsiTheme="minorHAnsi" w:cstheme="minorBidi"/>
          <w:b/>
          <w:bCs/>
          <w:color w:val="auto"/>
          <w:sz w:val="24"/>
          <w:szCs w:val="24"/>
        </w:rPr>
        <w:id w:val="907722317"/>
        <w:docPartObj>
          <w:docPartGallery w:val="Table of Contents"/>
          <w:docPartUnique/>
        </w:docPartObj>
      </w:sdtPr>
      <w:sdtContent>
        <w:p w14:paraId="214C675A" w14:textId="4D8848CE" w:rsidR="001D765D" w:rsidRPr="003C5A4A" w:rsidRDefault="001D765D">
          <w:pPr>
            <w:pStyle w:val="TOCHeading"/>
            <w:rPr>
              <w:lang w:val="en-GB"/>
            </w:rPr>
          </w:pPr>
          <w:r w:rsidRPr="6F3AAE03">
            <w:rPr>
              <w:lang w:val="en-GB"/>
            </w:rPr>
            <w:t>Contents</w:t>
          </w:r>
        </w:p>
        <w:p w14:paraId="1D792ADE" w14:textId="72EA1CCD" w:rsidR="00BA6D9E" w:rsidRDefault="6F3AAE03">
          <w:pPr>
            <w:pStyle w:val="TOC1"/>
            <w:rPr>
              <w:rFonts w:eastAsiaTheme="minorEastAsia"/>
              <w:b w:val="0"/>
              <w:bCs w:val="0"/>
              <w:noProof/>
              <w:kern w:val="2"/>
              <w14:ligatures w14:val="standardContextual"/>
            </w:rPr>
          </w:pPr>
          <w:r>
            <w:fldChar w:fldCharType="begin"/>
          </w:r>
          <w:r w:rsidR="001D765D">
            <w:instrText>TOC \o "1-3" \z \u \h</w:instrText>
          </w:r>
          <w:r>
            <w:fldChar w:fldCharType="separate"/>
          </w:r>
          <w:hyperlink w:anchor="_Toc206345370" w:history="1">
            <w:r w:rsidR="00BA6D9E" w:rsidRPr="001F7918">
              <w:rPr>
                <w:rStyle w:val="Hyperlink"/>
                <w:noProof/>
                <w:lang w:val="en-GB"/>
              </w:rPr>
              <w:t>1</w:t>
            </w:r>
            <w:r w:rsidR="00BA6D9E">
              <w:rPr>
                <w:rFonts w:eastAsiaTheme="minorEastAsia"/>
                <w:b w:val="0"/>
                <w:bCs w:val="0"/>
                <w:noProof/>
                <w:kern w:val="2"/>
                <w14:ligatures w14:val="standardContextual"/>
              </w:rPr>
              <w:tab/>
            </w:r>
            <w:r w:rsidR="00BA6D9E" w:rsidRPr="001F7918">
              <w:rPr>
                <w:rStyle w:val="Hyperlink"/>
                <w:noProof/>
                <w:lang w:val="en-GB"/>
              </w:rPr>
              <w:t>Scope</w:t>
            </w:r>
            <w:r w:rsidR="00BA6D9E">
              <w:rPr>
                <w:noProof/>
                <w:webHidden/>
              </w:rPr>
              <w:tab/>
            </w:r>
            <w:r w:rsidR="00BA6D9E">
              <w:rPr>
                <w:noProof/>
                <w:webHidden/>
              </w:rPr>
              <w:fldChar w:fldCharType="begin"/>
            </w:r>
            <w:r w:rsidR="00BA6D9E">
              <w:rPr>
                <w:noProof/>
                <w:webHidden/>
              </w:rPr>
              <w:instrText xml:space="preserve"> PAGEREF _Toc206345370 \h </w:instrText>
            </w:r>
            <w:r w:rsidR="00BA6D9E">
              <w:rPr>
                <w:noProof/>
                <w:webHidden/>
              </w:rPr>
            </w:r>
            <w:r w:rsidR="00BA6D9E">
              <w:rPr>
                <w:noProof/>
                <w:webHidden/>
              </w:rPr>
              <w:fldChar w:fldCharType="separate"/>
            </w:r>
            <w:r w:rsidR="00BA6D9E">
              <w:rPr>
                <w:noProof/>
                <w:webHidden/>
              </w:rPr>
              <w:t>3</w:t>
            </w:r>
            <w:r w:rsidR="00BA6D9E">
              <w:rPr>
                <w:noProof/>
                <w:webHidden/>
              </w:rPr>
              <w:fldChar w:fldCharType="end"/>
            </w:r>
          </w:hyperlink>
        </w:p>
        <w:p w14:paraId="4C6E45F6" w14:textId="676AE57E" w:rsidR="00BA6D9E" w:rsidRDefault="00BA6D9E">
          <w:pPr>
            <w:pStyle w:val="TOC1"/>
            <w:rPr>
              <w:rFonts w:eastAsiaTheme="minorEastAsia"/>
              <w:b w:val="0"/>
              <w:bCs w:val="0"/>
              <w:noProof/>
              <w:kern w:val="2"/>
              <w14:ligatures w14:val="standardContextual"/>
            </w:rPr>
          </w:pPr>
          <w:hyperlink w:anchor="_Toc206345371" w:history="1">
            <w:r w:rsidRPr="001F7918">
              <w:rPr>
                <w:rStyle w:val="Hyperlink"/>
                <w:noProof/>
                <w:lang w:val="en-GB"/>
              </w:rPr>
              <w:t>2</w:t>
            </w:r>
            <w:r>
              <w:rPr>
                <w:rFonts w:eastAsiaTheme="minorEastAsia"/>
                <w:b w:val="0"/>
                <w:bCs w:val="0"/>
                <w:noProof/>
                <w:kern w:val="2"/>
                <w14:ligatures w14:val="standardContextual"/>
              </w:rPr>
              <w:tab/>
            </w:r>
            <w:r w:rsidRPr="001F7918">
              <w:rPr>
                <w:rStyle w:val="Hyperlink"/>
                <w:noProof/>
                <w:lang w:val="en-GB"/>
              </w:rPr>
              <w:t>Exit Strategy in relation to working with Cloud Service Providers</w:t>
            </w:r>
            <w:r>
              <w:rPr>
                <w:noProof/>
                <w:webHidden/>
              </w:rPr>
              <w:tab/>
            </w:r>
            <w:r>
              <w:rPr>
                <w:noProof/>
                <w:webHidden/>
              </w:rPr>
              <w:fldChar w:fldCharType="begin"/>
            </w:r>
            <w:r>
              <w:rPr>
                <w:noProof/>
                <w:webHidden/>
              </w:rPr>
              <w:instrText xml:space="preserve"> PAGEREF _Toc206345371 \h </w:instrText>
            </w:r>
            <w:r>
              <w:rPr>
                <w:noProof/>
                <w:webHidden/>
              </w:rPr>
            </w:r>
            <w:r>
              <w:rPr>
                <w:noProof/>
                <w:webHidden/>
              </w:rPr>
              <w:fldChar w:fldCharType="separate"/>
            </w:r>
            <w:r>
              <w:rPr>
                <w:noProof/>
                <w:webHidden/>
              </w:rPr>
              <w:t>3</w:t>
            </w:r>
            <w:r>
              <w:rPr>
                <w:noProof/>
                <w:webHidden/>
              </w:rPr>
              <w:fldChar w:fldCharType="end"/>
            </w:r>
          </w:hyperlink>
        </w:p>
        <w:p w14:paraId="3D7EDADD" w14:textId="27B08F13"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72" w:history="1">
            <w:r w:rsidRPr="001F7918">
              <w:rPr>
                <w:rStyle w:val="Hyperlink"/>
                <w:noProof/>
                <w:lang w:val="en-GB"/>
              </w:rPr>
              <w:t>2.1</w:t>
            </w:r>
            <w:r>
              <w:rPr>
                <w:rFonts w:eastAsiaTheme="minorEastAsia"/>
                <w:b w:val="0"/>
                <w:bCs w:val="0"/>
                <w:noProof/>
                <w:kern w:val="2"/>
                <w:sz w:val="24"/>
                <w:szCs w:val="24"/>
                <w14:ligatures w14:val="standardContextual"/>
              </w:rPr>
              <w:tab/>
            </w:r>
            <w:r w:rsidRPr="001F7918">
              <w:rPr>
                <w:rStyle w:val="Hyperlink"/>
                <w:noProof/>
                <w:lang w:val="en-GB"/>
              </w:rPr>
              <w:t>Authorities and Standardization Organisations Requirements for Exit Strategy’s</w:t>
            </w:r>
            <w:r>
              <w:rPr>
                <w:noProof/>
                <w:webHidden/>
              </w:rPr>
              <w:tab/>
            </w:r>
            <w:r>
              <w:rPr>
                <w:noProof/>
                <w:webHidden/>
              </w:rPr>
              <w:fldChar w:fldCharType="begin"/>
            </w:r>
            <w:r>
              <w:rPr>
                <w:noProof/>
                <w:webHidden/>
              </w:rPr>
              <w:instrText xml:space="preserve"> PAGEREF _Toc206345372 \h </w:instrText>
            </w:r>
            <w:r>
              <w:rPr>
                <w:noProof/>
                <w:webHidden/>
              </w:rPr>
            </w:r>
            <w:r>
              <w:rPr>
                <w:noProof/>
                <w:webHidden/>
              </w:rPr>
              <w:fldChar w:fldCharType="separate"/>
            </w:r>
            <w:r>
              <w:rPr>
                <w:noProof/>
                <w:webHidden/>
              </w:rPr>
              <w:t>5</w:t>
            </w:r>
            <w:r>
              <w:rPr>
                <w:noProof/>
                <w:webHidden/>
              </w:rPr>
              <w:fldChar w:fldCharType="end"/>
            </w:r>
          </w:hyperlink>
        </w:p>
        <w:p w14:paraId="469F2AB9" w14:textId="76ECADAB" w:rsidR="00BA6D9E" w:rsidRDefault="00BA6D9E">
          <w:pPr>
            <w:pStyle w:val="TOC1"/>
            <w:rPr>
              <w:rFonts w:eastAsiaTheme="minorEastAsia"/>
              <w:b w:val="0"/>
              <w:bCs w:val="0"/>
              <w:noProof/>
              <w:kern w:val="2"/>
              <w14:ligatures w14:val="standardContextual"/>
            </w:rPr>
          </w:pPr>
          <w:hyperlink w:anchor="_Toc206345373" w:history="1">
            <w:r w:rsidRPr="001F7918">
              <w:rPr>
                <w:rStyle w:val="Hyperlink"/>
                <w:noProof/>
                <w:lang w:val="en-GB"/>
              </w:rPr>
              <w:t>3</w:t>
            </w:r>
            <w:r>
              <w:rPr>
                <w:rFonts w:eastAsiaTheme="minorEastAsia"/>
                <w:b w:val="0"/>
                <w:bCs w:val="0"/>
                <w:noProof/>
                <w:kern w:val="2"/>
                <w14:ligatures w14:val="standardContextual"/>
              </w:rPr>
              <w:tab/>
            </w:r>
            <w:r w:rsidRPr="001F7918">
              <w:rPr>
                <w:rStyle w:val="Hyperlink"/>
                <w:noProof/>
                <w:lang w:val="en-GB"/>
              </w:rPr>
              <w:t>Clarification on definitions</w:t>
            </w:r>
            <w:r>
              <w:rPr>
                <w:noProof/>
                <w:webHidden/>
              </w:rPr>
              <w:tab/>
            </w:r>
            <w:r>
              <w:rPr>
                <w:noProof/>
                <w:webHidden/>
              </w:rPr>
              <w:fldChar w:fldCharType="begin"/>
            </w:r>
            <w:r>
              <w:rPr>
                <w:noProof/>
                <w:webHidden/>
              </w:rPr>
              <w:instrText xml:space="preserve"> PAGEREF _Toc206345373 \h </w:instrText>
            </w:r>
            <w:r>
              <w:rPr>
                <w:noProof/>
                <w:webHidden/>
              </w:rPr>
            </w:r>
            <w:r>
              <w:rPr>
                <w:noProof/>
                <w:webHidden/>
              </w:rPr>
              <w:fldChar w:fldCharType="separate"/>
            </w:r>
            <w:r>
              <w:rPr>
                <w:noProof/>
                <w:webHidden/>
              </w:rPr>
              <w:t>7</w:t>
            </w:r>
            <w:r>
              <w:rPr>
                <w:noProof/>
                <w:webHidden/>
              </w:rPr>
              <w:fldChar w:fldCharType="end"/>
            </w:r>
          </w:hyperlink>
        </w:p>
        <w:p w14:paraId="6336DE43" w14:textId="61F85C46" w:rsidR="00BA6D9E" w:rsidRDefault="00BA6D9E">
          <w:pPr>
            <w:pStyle w:val="TOC1"/>
            <w:rPr>
              <w:rFonts w:eastAsiaTheme="minorEastAsia"/>
              <w:b w:val="0"/>
              <w:bCs w:val="0"/>
              <w:noProof/>
              <w:kern w:val="2"/>
              <w14:ligatures w14:val="standardContextual"/>
            </w:rPr>
          </w:pPr>
          <w:hyperlink w:anchor="_Toc206345374" w:history="1">
            <w:r w:rsidRPr="001F7918">
              <w:rPr>
                <w:rStyle w:val="Hyperlink"/>
                <w:noProof/>
                <w:lang w:val="en-GB"/>
              </w:rPr>
              <w:t>4</w:t>
            </w:r>
            <w:r>
              <w:rPr>
                <w:rFonts w:eastAsiaTheme="minorEastAsia"/>
                <w:b w:val="0"/>
                <w:bCs w:val="0"/>
                <w:noProof/>
                <w:kern w:val="2"/>
                <w14:ligatures w14:val="standardContextual"/>
              </w:rPr>
              <w:tab/>
            </w:r>
            <w:r w:rsidRPr="001F7918">
              <w:rPr>
                <w:rStyle w:val="Hyperlink"/>
                <w:noProof/>
                <w:lang w:val="en-GB"/>
              </w:rPr>
              <w:t>Elements in Exit Strategy</w:t>
            </w:r>
            <w:r>
              <w:rPr>
                <w:noProof/>
                <w:webHidden/>
              </w:rPr>
              <w:tab/>
            </w:r>
            <w:r>
              <w:rPr>
                <w:noProof/>
                <w:webHidden/>
              </w:rPr>
              <w:fldChar w:fldCharType="begin"/>
            </w:r>
            <w:r>
              <w:rPr>
                <w:noProof/>
                <w:webHidden/>
              </w:rPr>
              <w:instrText xml:space="preserve"> PAGEREF _Toc206345374 \h </w:instrText>
            </w:r>
            <w:r>
              <w:rPr>
                <w:noProof/>
                <w:webHidden/>
              </w:rPr>
            </w:r>
            <w:r>
              <w:rPr>
                <w:noProof/>
                <w:webHidden/>
              </w:rPr>
              <w:fldChar w:fldCharType="separate"/>
            </w:r>
            <w:r>
              <w:rPr>
                <w:noProof/>
                <w:webHidden/>
              </w:rPr>
              <w:t>7</w:t>
            </w:r>
            <w:r>
              <w:rPr>
                <w:noProof/>
                <w:webHidden/>
              </w:rPr>
              <w:fldChar w:fldCharType="end"/>
            </w:r>
          </w:hyperlink>
        </w:p>
        <w:p w14:paraId="4AF98F20" w14:textId="59C34D8F"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75" w:history="1">
            <w:r w:rsidRPr="001F7918">
              <w:rPr>
                <w:rStyle w:val="Hyperlink"/>
                <w:noProof/>
                <w:lang w:val="en-GB"/>
              </w:rPr>
              <w:t>4.1</w:t>
            </w:r>
            <w:r>
              <w:rPr>
                <w:rFonts w:eastAsiaTheme="minorEastAsia"/>
                <w:b w:val="0"/>
                <w:bCs w:val="0"/>
                <w:noProof/>
                <w:kern w:val="2"/>
                <w:sz w:val="24"/>
                <w:szCs w:val="24"/>
                <w14:ligatures w14:val="standardContextual"/>
              </w:rPr>
              <w:tab/>
            </w:r>
            <w:r w:rsidRPr="001F7918">
              <w:rPr>
                <w:rStyle w:val="Hyperlink"/>
                <w:noProof/>
                <w:lang w:val="en-GB"/>
              </w:rPr>
              <w:t>Data Security and Integrity</w:t>
            </w:r>
            <w:r>
              <w:rPr>
                <w:noProof/>
                <w:webHidden/>
              </w:rPr>
              <w:tab/>
            </w:r>
            <w:r>
              <w:rPr>
                <w:noProof/>
                <w:webHidden/>
              </w:rPr>
              <w:fldChar w:fldCharType="begin"/>
            </w:r>
            <w:r>
              <w:rPr>
                <w:noProof/>
                <w:webHidden/>
              </w:rPr>
              <w:instrText xml:space="preserve"> PAGEREF _Toc206345375 \h </w:instrText>
            </w:r>
            <w:r>
              <w:rPr>
                <w:noProof/>
                <w:webHidden/>
              </w:rPr>
            </w:r>
            <w:r>
              <w:rPr>
                <w:noProof/>
                <w:webHidden/>
              </w:rPr>
              <w:fldChar w:fldCharType="separate"/>
            </w:r>
            <w:r>
              <w:rPr>
                <w:noProof/>
                <w:webHidden/>
              </w:rPr>
              <w:t>7</w:t>
            </w:r>
            <w:r>
              <w:rPr>
                <w:noProof/>
                <w:webHidden/>
              </w:rPr>
              <w:fldChar w:fldCharType="end"/>
            </w:r>
          </w:hyperlink>
        </w:p>
        <w:p w14:paraId="62F48FD8" w14:textId="2C1F829F"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76" w:history="1">
            <w:r w:rsidRPr="001F7918">
              <w:rPr>
                <w:rStyle w:val="Hyperlink"/>
                <w:noProof/>
                <w:lang w:val="en-GB"/>
              </w:rPr>
              <w:t>4.1.1</w:t>
            </w:r>
            <w:r>
              <w:rPr>
                <w:rFonts w:eastAsiaTheme="minorEastAsia"/>
                <w:noProof/>
                <w:kern w:val="2"/>
                <w:sz w:val="24"/>
                <w:szCs w:val="24"/>
                <w14:ligatures w14:val="standardContextual"/>
              </w:rPr>
              <w:tab/>
            </w:r>
            <w:r w:rsidRPr="001F7918">
              <w:rPr>
                <w:rStyle w:val="Hyperlink"/>
                <w:noProof/>
                <w:lang w:val="en-GB"/>
              </w:rPr>
              <w:t>Data Security</w:t>
            </w:r>
            <w:r>
              <w:rPr>
                <w:noProof/>
                <w:webHidden/>
              </w:rPr>
              <w:tab/>
            </w:r>
            <w:r>
              <w:rPr>
                <w:noProof/>
                <w:webHidden/>
              </w:rPr>
              <w:fldChar w:fldCharType="begin"/>
            </w:r>
            <w:r>
              <w:rPr>
                <w:noProof/>
                <w:webHidden/>
              </w:rPr>
              <w:instrText xml:space="preserve"> PAGEREF _Toc206345376 \h </w:instrText>
            </w:r>
            <w:r>
              <w:rPr>
                <w:noProof/>
                <w:webHidden/>
              </w:rPr>
            </w:r>
            <w:r>
              <w:rPr>
                <w:noProof/>
                <w:webHidden/>
              </w:rPr>
              <w:fldChar w:fldCharType="separate"/>
            </w:r>
            <w:r>
              <w:rPr>
                <w:noProof/>
                <w:webHidden/>
              </w:rPr>
              <w:t>7</w:t>
            </w:r>
            <w:r>
              <w:rPr>
                <w:noProof/>
                <w:webHidden/>
              </w:rPr>
              <w:fldChar w:fldCharType="end"/>
            </w:r>
          </w:hyperlink>
        </w:p>
        <w:p w14:paraId="5B3F4DC6" w14:textId="4EF2CF95"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77" w:history="1">
            <w:r w:rsidRPr="001F7918">
              <w:rPr>
                <w:rStyle w:val="Hyperlink"/>
                <w:noProof/>
                <w:lang w:val="en-GB"/>
              </w:rPr>
              <w:t>4.1.2</w:t>
            </w:r>
            <w:r>
              <w:rPr>
                <w:rFonts w:eastAsiaTheme="minorEastAsia"/>
                <w:noProof/>
                <w:kern w:val="2"/>
                <w:sz w:val="24"/>
                <w:szCs w:val="24"/>
                <w14:ligatures w14:val="standardContextual"/>
              </w:rPr>
              <w:tab/>
            </w:r>
            <w:r w:rsidRPr="001F7918">
              <w:rPr>
                <w:rStyle w:val="Hyperlink"/>
                <w:noProof/>
                <w:lang w:val="en-GB"/>
              </w:rPr>
              <w:t>Data Integrity</w:t>
            </w:r>
            <w:r>
              <w:rPr>
                <w:noProof/>
                <w:webHidden/>
              </w:rPr>
              <w:tab/>
            </w:r>
            <w:r>
              <w:rPr>
                <w:noProof/>
                <w:webHidden/>
              </w:rPr>
              <w:fldChar w:fldCharType="begin"/>
            </w:r>
            <w:r>
              <w:rPr>
                <w:noProof/>
                <w:webHidden/>
              </w:rPr>
              <w:instrText xml:space="preserve"> PAGEREF _Toc206345377 \h </w:instrText>
            </w:r>
            <w:r>
              <w:rPr>
                <w:noProof/>
                <w:webHidden/>
              </w:rPr>
            </w:r>
            <w:r>
              <w:rPr>
                <w:noProof/>
                <w:webHidden/>
              </w:rPr>
              <w:fldChar w:fldCharType="separate"/>
            </w:r>
            <w:r>
              <w:rPr>
                <w:noProof/>
                <w:webHidden/>
              </w:rPr>
              <w:t>8</w:t>
            </w:r>
            <w:r>
              <w:rPr>
                <w:noProof/>
                <w:webHidden/>
              </w:rPr>
              <w:fldChar w:fldCharType="end"/>
            </w:r>
          </w:hyperlink>
        </w:p>
        <w:p w14:paraId="26978BE2" w14:textId="60DC933A"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78" w:history="1">
            <w:r w:rsidRPr="001F7918">
              <w:rPr>
                <w:rStyle w:val="Hyperlink"/>
                <w:noProof/>
              </w:rPr>
              <w:t>4.2</w:t>
            </w:r>
            <w:r>
              <w:rPr>
                <w:rFonts w:eastAsiaTheme="minorEastAsia"/>
                <w:b w:val="0"/>
                <w:bCs w:val="0"/>
                <w:noProof/>
                <w:kern w:val="2"/>
                <w:sz w:val="24"/>
                <w:szCs w:val="24"/>
                <w14:ligatures w14:val="standardContextual"/>
              </w:rPr>
              <w:tab/>
            </w:r>
            <w:r w:rsidRPr="001F7918">
              <w:rPr>
                <w:rStyle w:val="Hyperlink"/>
                <w:noProof/>
              </w:rPr>
              <w:t>Business Continuity</w:t>
            </w:r>
            <w:r>
              <w:rPr>
                <w:noProof/>
                <w:webHidden/>
              </w:rPr>
              <w:tab/>
            </w:r>
            <w:r>
              <w:rPr>
                <w:noProof/>
                <w:webHidden/>
              </w:rPr>
              <w:fldChar w:fldCharType="begin"/>
            </w:r>
            <w:r>
              <w:rPr>
                <w:noProof/>
                <w:webHidden/>
              </w:rPr>
              <w:instrText xml:space="preserve"> PAGEREF _Toc206345378 \h </w:instrText>
            </w:r>
            <w:r>
              <w:rPr>
                <w:noProof/>
                <w:webHidden/>
              </w:rPr>
            </w:r>
            <w:r>
              <w:rPr>
                <w:noProof/>
                <w:webHidden/>
              </w:rPr>
              <w:fldChar w:fldCharType="separate"/>
            </w:r>
            <w:r>
              <w:rPr>
                <w:noProof/>
                <w:webHidden/>
              </w:rPr>
              <w:t>8</w:t>
            </w:r>
            <w:r>
              <w:rPr>
                <w:noProof/>
                <w:webHidden/>
              </w:rPr>
              <w:fldChar w:fldCharType="end"/>
            </w:r>
          </w:hyperlink>
        </w:p>
        <w:p w14:paraId="1EDE269C" w14:textId="3C5F8DD4"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79" w:history="1">
            <w:r w:rsidRPr="001F7918">
              <w:rPr>
                <w:rStyle w:val="Hyperlink"/>
                <w:noProof/>
                <w:lang w:val="en-GB"/>
              </w:rPr>
              <w:t>4.3</w:t>
            </w:r>
            <w:r>
              <w:rPr>
                <w:rFonts w:eastAsiaTheme="minorEastAsia"/>
                <w:b w:val="0"/>
                <w:bCs w:val="0"/>
                <w:noProof/>
                <w:kern w:val="2"/>
                <w:sz w:val="24"/>
                <w:szCs w:val="24"/>
                <w14:ligatures w14:val="standardContextual"/>
              </w:rPr>
              <w:tab/>
            </w:r>
            <w:r w:rsidRPr="001F7918">
              <w:rPr>
                <w:rStyle w:val="Hyperlink"/>
                <w:noProof/>
              </w:rPr>
              <w:t>Vendor Lock-In Prevention</w:t>
            </w:r>
            <w:r>
              <w:rPr>
                <w:noProof/>
                <w:webHidden/>
              </w:rPr>
              <w:tab/>
            </w:r>
            <w:r>
              <w:rPr>
                <w:noProof/>
                <w:webHidden/>
              </w:rPr>
              <w:fldChar w:fldCharType="begin"/>
            </w:r>
            <w:r>
              <w:rPr>
                <w:noProof/>
                <w:webHidden/>
              </w:rPr>
              <w:instrText xml:space="preserve"> PAGEREF _Toc206345379 \h </w:instrText>
            </w:r>
            <w:r>
              <w:rPr>
                <w:noProof/>
                <w:webHidden/>
              </w:rPr>
            </w:r>
            <w:r>
              <w:rPr>
                <w:noProof/>
                <w:webHidden/>
              </w:rPr>
              <w:fldChar w:fldCharType="separate"/>
            </w:r>
            <w:r>
              <w:rPr>
                <w:noProof/>
                <w:webHidden/>
              </w:rPr>
              <w:t>8</w:t>
            </w:r>
            <w:r>
              <w:rPr>
                <w:noProof/>
                <w:webHidden/>
              </w:rPr>
              <w:fldChar w:fldCharType="end"/>
            </w:r>
          </w:hyperlink>
        </w:p>
        <w:p w14:paraId="4B7BE96A" w14:textId="3C831A6D"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0" w:history="1">
            <w:r w:rsidRPr="001F7918">
              <w:rPr>
                <w:rStyle w:val="Hyperlink"/>
                <w:noProof/>
              </w:rPr>
              <w:t>4.3.1</w:t>
            </w:r>
            <w:r>
              <w:rPr>
                <w:rFonts w:eastAsiaTheme="minorEastAsia"/>
                <w:noProof/>
                <w:kern w:val="2"/>
                <w:sz w:val="24"/>
                <w:szCs w:val="24"/>
                <w14:ligatures w14:val="standardContextual"/>
              </w:rPr>
              <w:tab/>
            </w:r>
            <w:r w:rsidRPr="001F7918">
              <w:rPr>
                <w:rStyle w:val="Hyperlink"/>
                <w:noProof/>
              </w:rPr>
              <w:t>What is Vendor Lock-In?</w:t>
            </w:r>
            <w:r>
              <w:rPr>
                <w:noProof/>
                <w:webHidden/>
              </w:rPr>
              <w:tab/>
            </w:r>
            <w:r>
              <w:rPr>
                <w:noProof/>
                <w:webHidden/>
              </w:rPr>
              <w:fldChar w:fldCharType="begin"/>
            </w:r>
            <w:r>
              <w:rPr>
                <w:noProof/>
                <w:webHidden/>
              </w:rPr>
              <w:instrText xml:space="preserve"> PAGEREF _Toc206345380 \h </w:instrText>
            </w:r>
            <w:r>
              <w:rPr>
                <w:noProof/>
                <w:webHidden/>
              </w:rPr>
            </w:r>
            <w:r>
              <w:rPr>
                <w:noProof/>
                <w:webHidden/>
              </w:rPr>
              <w:fldChar w:fldCharType="separate"/>
            </w:r>
            <w:r>
              <w:rPr>
                <w:noProof/>
                <w:webHidden/>
              </w:rPr>
              <w:t>9</w:t>
            </w:r>
            <w:r>
              <w:rPr>
                <w:noProof/>
                <w:webHidden/>
              </w:rPr>
              <w:fldChar w:fldCharType="end"/>
            </w:r>
          </w:hyperlink>
        </w:p>
        <w:p w14:paraId="6BB670EE" w14:textId="79693EAC"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1" w:history="1">
            <w:r w:rsidRPr="001F7918">
              <w:rPr>
                <w:rStyle w:val="Hyperlink"/>
                <w:noProof/>
              </w:rPr>
              <w:t>4.3.2</w:t>
            </w:r>
            <w:r>
              <w:rPr>
                <w:rFonts w:eastAsiaTheme="minorEastAsia"/>
                <w:noProof/>
                <w:kern w:val="2"/>
                <w:sz w:val="24"/>
                <w:szCs w:val="24"/>
                <w14:ligatures w14:val="standardContextual"/>
              </w:rPr>
              <w:tab/>
            </w:r>
            <w:r w:rsidRPr="001F7918">
              <w:rPr>
                <w:rStyle w:val="Hyperlink"/>
                <w:noProof/>
              </w:rPr>
              <w:t>Key Strategies for Vendor Lock-In Prevention</w:t>
            </w:r>
            <w:r>
              <w:rPr>
                <w:noProof/>
                <w:webHidden/>
              </w:rPr>
              <w:tab/>
            </w:r>
            <w:r>
              <w:rPr>
                <w:noProof/>
                <w:webHidden/>
              </w:rPr>
              <w:fldChar w:fldCharType="begin"/>
            </w:r>
            <w:r>
              <w:rPr>
                <w:noProof/>
                <w:webHidden/>
              </w:rPr>
              <w:instrText xml:space="preserve"> PAGEREF _Toc206345381 \h </w:instrText>
            </w:r>
            <w:r>
              <w:rPr>
                <w:noProof/>
                <w:webHidden/>
              </w:rPr>
            </w:r>
            <w:r>
              <w:rPr>
                <w:noProof/>
                <w:webHidden/>
              </w:rPr>
              <w:fldChar w:fldCharType="separate"/>
            </w:r>
            <w:r>
              <w:rPr>
                <w:noProof/>
                <w:webHidden/>
              </w:rPr>
              <w:t>9</w:t>
            </w:r>
            <w:r>
              <w:rPr>
                <w:noProof/>
                <w:webHidden/>
              </w:rPr>
              <w:fldChar w:fldCharType="end"/>
            </w:r>
          </w:hyperlink>
        </w:p>
        <w:p w14:paraId="51174A1A" w14:textId="7FFDA538"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2" w:history="1">
            <w:r w:rsidRPr="001F7918">
              <w:rPr>
                <w:rStyle w:val="Hyperlink"/>
                <w:noProof/>
              </w:rPr>
              <w:t>4.3.3</w:t>
            </w:r>
            <w:r>
              <w:rPr>
                <w:rFonts w:eastAsiaTheme="minorEastAsia"/>
                <w:noProof/>
                <w:kern w:val="2"/>
                <w:sz w:val="24"/>
                <w:szCs w:val="24"/>
                <w14:ligatures w14:val="standardContextual"/>
              </w:rPr>
              <w:tab/>
            </w:r>
            <w:r w:rsidRPr="001F7918">
              <w:rPr>
                <w:rStyle w:val="Hyperlink"/>
                <w:noProof/>
              </w:rPr>
              <w:t>Benefits of Vendor Lock-In Prevention</w:t>
            </w:r>
            <w:r>
              <w:rPr>
                <w:noProof/>
                <w:webHidden/>
              </w:rPr>
              <w:tab/>
            </w:r>
            <w:r>
              <w:rPr>
                <w:noProof/>
                <w:webHidden/>
              </w:rPr>
              <w:fldChar w:fldCharType="begin"/>
            </w:r>
            <w:r>
              <w:rPr>
                <w:noProof/>
                <w:webHidden/>
              </w:rPr>
              <w:instrText xml:space="preserve"> PAGEREF _Toc206345382 \h </w:instrText>
            </w:r>
            <w:r>
              <w:rPr>
                <w:noProof/>
                <w:webHidden/>
              </w:rPr>
            </w:r>
            <w:r>
              <w:rPr>
                <w:noProof/>
                <w:webHidden/>
              </w:rPr>
              <w:fldChar w:fldCharType="separate"/>
            </w:r>
            <w:r>
              <w:rPr>
                <w:noProof/>
                <w:webHidden/>
              </w:rPr>
              <w:t>10</w:t>
            </w:r>
            <w:r>
              <w:rPr>
                <w:noProof/>
                <w:webHidden/>
              </w:rPr>
              <w:fldChar w:fldCharType="end"/>
            </w:r>
          </w:hyperlink>
        </w:p>
        <w:p w14:paraId="0582BA2A" w14:textId="791BA006"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83" w:history="1">
            <w:r w:rsidRPr="001F7918">
              <w:rPr>
                <w:rStyle w:val="Hyperlink"/>
                <w:noProof/>
              </w:rPr>
              <w:t>4.4</w:t>
            </w:r>
            <w:r>
              <w:rPr>
                <w:rFonts w:eastAsiaTheme="minorEastAsia"/>
                <w:b w:val="0"/>
                <w:bCs w:val="0"/>
                <w:noProof/>
                <w:kern w:val="2"/>
                <w:sz w:val="24"/>
                <w:szCs w:val="24"/>
                <w14:ligatures w14:val="standardContextual"/>
              </w:rPr>
              <w:tab/>
            </w:r>
            <w:r w:rsidRPr="001F7918">
              <w:rPr>
                <w:rStyle w:val="Hyperlink"/>
                <w:noProof/>
              </w:rPr>
              <w:t>Risk Management</w:t>
            </w:r>
            <w:r>
              <w:rPr>
                <w:noProof/>
                <w:webHidden/>
              </w:rPr>
              <w:tab/>
            </w:r>
            <w:r>
              <w:rPr>
                <w:noProof/>
                <w:webHidden/>
              </w:rPr>
              <w:fldChar w:fldCharType="begin"/>
            </w:r>
            <w:r>
              <w:rPr>
                <w:noProof/>
                <w:webHidden/>
              </w:rPr>
              <w:instrText xml:space="preserve"> PAGEREF _Toc206345383 \h </w:instrText>
            </w:r>
            <w:r>
              <w:rPr>
                <w:noProof/>
                <w:webHidden/>
              </w:rPr>
            </w:r>
            <w:r>
              <w:rPr>
                <w:noProof/>
                <w:webHidden/>
              </w:rPr>
              <w:fldChar w:fldCharType="separate"/>
            </w:r>
            <w:r>
              <w:rPr>
                <w:noProof/>
                <w:webHidden/>
              </w:rPr>
              <w:t>11</w:t>
            </w:r>
            <w:r>
              <w:rPr>
                <w:noProof/>
                <w:webHidden/>
              </w:rPr>
              <w:fldChar w:fldCharType="end"/>
            </w:r>
          </w:hyperlink>
        </w:p>
        <w:p w14:paraId="032C9442" w14:textId="575F7A7D"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4" w:history="1">
            <w:r w:rsidRPr="001F7918">
              <w:rPr>
                <w:rStyle w:val="Hyperlink"/>
                <w:noProof/>
              </w:rPr>
              <w:t>4.4.1</w:t>
            </w:r>
            <w:r>
              <w:rPr>
                <w:rFonts w:eastAsiaTheme="minorEastAsia"/>
                <w:noProof/>
                <w:kern w:val="2"/>
                <w:sz w:val="24"/>
                <w:szCs w:val="24"/>
                <w14:ligatures w14:val="standardContextual"/>
              </w:rPr>
              <w:tab/>
            </w:r>
            <w:r w:rsidRPr="001F7918">
              <w:rPr>
                <w:rStyle w:val="Hyperlink"/>
                <w:noProof/>
              </w:rPr>
              <w:t>Identifying Risks in Cloud Exit Strategies</w:t>
            </w:r>
            <w:r>
              <w:rPr>
                <w:noProof/>
                <w:webHidden/>
              </w:rPr>
              <w:tab/>
            </w:r>
            <w:r>
              <w:rPr>
                <w:noProof/>
                <w:webHidden/>
              </w:rPr>
              <w:fldChar w:fldCharType="begin"/>
            </w:r>
            <w:r>
              <w:rPr>
                <w:noProof/>
                <w:webHidden/>
              </w:rPr>
              <w:instrText xml:space="preserve"> PAGEREF _Toc206345384 \h </w:instrText>
            </w:r>
            <w:r>
              <w:rPr>
                <w:noProof/>
                <w:webHidden/>
              </w:rPr>
            </w:r>
            <w:r>
              <w:rPr>
                <w:noProof/>
                <w:webHidden/>
              </w:rPr>
              <w:fldChar w:fldCharType="separate"/>
            </w:r>
            <w:r>
              <w:rPr>
                <w:noProof/>
                <w:webHidden/>
              </w:rPr>
              <w:t>11</w:t>
            </w:r>
            <w:r>
              <w:rPr>
                <w:noProof/>
                <w:webHidden/>
              </w:rPr>
              <w:fldChar w:fldCharType="end"/>
            </w:r>
          </w:hyperlink>
        </w:p>
        <w:p w14:paraId="604067E4" w14:textId="436B6BC6"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5" w:history="1">
            <w:r w:rsidRPr="001F7918">
              <w:rPr>
                <w:rStyle w:val="Hyperlink"/>
                <w:noProof/>
              </w:rPr>
              <w:t>4.4.2</w:t>
            </w:r>
            <w:r>
              <w:rPr>
                <w:rFonts w:eastAsiaTheme="minorEastAsia"/>
                <w:noProof/>
                <w:kern w:val="2"/>
                <w:sz w:val="24"/>
                <w:szCs w:val="24"/>
                <w14:ligatures w14:val="standardContextual"/>
              </w:rPr>
              <w:tab/>
            </w:r>
            <w:r w:rsidRPr="001F7918">
              <w:rPr>
                <w:rStyle w:val="Hyperlink"/>
                <w:noProof/>
              </w:rPr>
              <w:t>Risk Mitigation Strategies</w:t>
            </w:r>
            <w:r>
              <w:rPr>
                <w:noProof/>
                <w:webHidden/>
              </w:rPr>
              <w:tab/>
            </w:r>
            <w:r>
              <w:rPr>
                <w:noProof/>
                <w:webHidden/>
              </w:rPr>
              <w:fldChar w:fldCharType="begin"/>
            </w:r>
            <w:r>
              <w:rPr>
                <w:noProof/>
                <w:webHidden/>
              </w:rPr>
              <w:instrText xml:space="preserve"> PAGEREF _Toc206345385 \h </w:instrText>
            </w:r>
            <w:r>
              <w:rPr>
                <w:noProof/>
                <w:webHidden/>
              </w:rPr>
            </w:r>
            <w:r>
              <w:rPr>
                <w:noProof/>
                <w:webHidden/>
              </w:rPr>
              <w:fldChar w:fldCharType="separate"/>
            </w:r>
            <w:r>
              <w:rPr>
                <w:noProof/>
                <w:webHidden/>
              </w:rPr>
              <w:t>12</w:t>
            </w:r>
            <w:r>
              <w:rPr>
                <w:noProof/>
                <w:webHidden/>
              </w:rPr>
              <w:fldChar w:fldCharType="end"/>
            </w:r>
          </w:hyperlink>
        </w:p>
        <w:p w14:paraId="21DE6D59" w14:textId="5CF57C9F"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6" w:history="1">
            <w:r w:rsidRPr="001F7918">
              <w:rPr>
                <w:rStyle w:val="Hyperlink"/>
                <w:noProof/>
              </w:rPr>
              <w:t>4.4.3</w:t>
            </w:r>
            <w:r>
              <w:rPr>
                <w:rFonts w:eastAsiaTheme="minorEastAsia"/>
                <w:noProof/>
                <w:kern w:val="2"/>
                <w:sz w:val="24"/>
                <w:szCs w:val="24"/>
                <w14:ligatures w14:val="standardContextual"/>
              </w:rPr>
              <w:tab/>
            </w:r>
            <w:r w:rsidRPr="001F7918">
              <w:rPr>
                <w:rStyle w:val="Hyperlink"/>
                <w:noProof/>
              </w:rPr>
              <w:t>Ongoing Risk Monitoring and Review</w:t>
            </w:r>
            <w:r>
              <w:rPr>
                <w:noProof/>
                <w:webHidden/>
              </w:rPr>
              <w:tab/>
            </w:r>
            <w:r>
              <w:rPr>
                <w:noProof/>
                <w:webHidden/>
              </w:rPr>
              <w:fldChar w:fldCharType="begin"/>
            </w:r>
            <w:r>
              <w:rPr>
                <w:noProof/>
                <w:webHidden/>
              </w:rPr>
              <w:instrText xml:space="preserve"> PAGEREF _Toc206345386 \h </w:instrText>
            </w:r>
            <w:r>
              <w:rPr>
                <w:noProof/>
                <w:webHidden/>
              </w:rPr>
            </w:r>
            <w:r>
              <w:rPr>
                <w:noProof/>
                <w:webHidden/>
              </w:rPr>
              <w:fldChar w:fldCharType="separate"/>
            </w:r>
            <w:r>
              <w:rPr>
                <w:noProof/>
                <w:webHidden/>
              </w:rPr>
              <w:t>12</w:t>
            </w:r>
            <w:r>
              <w:rPr>
                <w:noProof/>
                <w:webHidden/>
              </w:rPr>
              <w:fldChar w:fldCharType="end"/>
            </w:r>
          </w:hyperlink>
        </w:p>
        <w:p w14:paraId="6D15BFCD" w14:textId="2B51825D"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87" w:history="1">
            <w:r w:rsidRPr="001F7918">
              <w:rPr>
                <w:rStyle w:val="Hyperlink"/>
                <w:noProof/>
              </w:rPr>
              <w:t>4.5</w:t>
            </w:r>
            <w:r>
              <w:rPr>
                <w:rFonts w:eastAsiaTheme="minorEastAsia"/>
                <w:b w:val="0"/>
                <w:bCs w:val="0"/>
                <w:noProof/>
                <w:kern w:val="2"/>
                <w:sz w:val="24"/>
                <w:szCs w:val="24"/>
                <w14:ligatures w14:val="standardContextual"/>
              </w:rPr>
              <w:tab/>
            </w:r>
            <w:r w:rsidRPr="001F7918">
              <w:rPr>
                <w:rStyle w:val="Hyperlink"/>
                <w:noProof/>
              </w:rPr>
              <w:t>Performance and Satisfaction</w:t>
            </w:r>
            <w:r>
              <w:rPr>
                <w:noProof/>
                <w:webHidden/>
              </w:rPr>
              <w:tab/>
            </w:r>
            <w:r>
              <w:rPr>
                <w:noProof/>
                <w:webHidden/>
              </w:rPr>
              <w:fldChar w:fldCharType="begin"/>
            </w:r>
            <w:r>
              <w:rPr>
                <w:noProof/>
                <w:webHidden/>
              </w:rPr>
              <w:instrText xml:space="preserve"> PAGEREF _Toc206345387 \h </w:instrText>
            </w:r>
            <w:r>
              <w:rPr>
                <w:noProof/>
                <w:webHidden/>
              </w:rPr>
            </w:r>
            <w:r>
              <w:rPr>
                <w:noProof/>
                <w:webHidden/>
              </w:rPr>
              <w:fldChar w:fldCharType="separate"/>
            </w:r>
            <w:r>
              <w:rPr>
                <w:noProof/>
                <w:webHidden/>
              </w:rPr>
              <w:t>12</w:t>
            </w:r>
            <w:r>
              <w:rPr>
                <w:noProof/>
                <w:webHidden/>
              </w:rPr>
              <w:fldChar w:fldCharType="end"/>
            </w:r>
          </w:hyperlink>
        </w:p>
        <w:p w14:paraId="766C1ED2" w14:textId="176D73D0"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8" w:history="1">
            <w:r w:rsidRPr="001F7918">
              <w:rPr>
                <w:rStyle w:val="Hyperlink"/>
                <w:noProof/>
                <w:lang w:eastAsia="da-DK"/>
              </w:rPr>
              <w:t>4.5.1</w:t>
            </w:r>
            <w:r>
              <w:rPr>
                <w:rFonts w:eastAsiaTheme="minorEastAsia"/>
                <w:noProof/>
                <w:kern w:val="2"/>
                <w:sz w:val="24"/>
                <w:szCs w:val="24"/>
                <w14:ligatures w14:val="standardContextual"/>
              </w:rPr>
              <w:tab/>
            </w:r>
            <w:r w:rsidRPr="001F7918">
              <w:rPr>
                <w:rStyle w:val="Hyperlink"/>
                <w:noProof/>
                <w:lang w:eastAsia="da-DK"/>
              </w:rPr>
              <w:t>Key Performance Indicators (KPIs) for Cloud Services</w:t>
            </w:r>
            <w:r>
              <w:rPr>
                <w:noProof/>
                <w:webHidden/>
              </w:rPr>
              <w:tab/>
            </w:r>
            <w:r>
              <w:rPr>
                <w:noProof/>
                <w:webHidden/>
              </w:rPr>
              <w:fldChar w:fldCharType="begin"/>
            </w:r>
            <w:r>
              <w:rPr>
                <w:noProof/>
                <w:webHidden/>
              </w:rPr>
              <w:instrText xml:space="preserve"> PAGEREF _Toc206345388 \h </w:instrText>
            </w:r>
            <w:r>
              <w:rPr>
                <w:noProof/>
                <w:webHidden/>
              </w:rPr>
            </w:r>
            <w:r>
              <w:rPr>
                <w:noProof/>
                <w:webHidden/>
              </w:rPr>
              <w:fldChar w:fldCharType="separate"/>
            </w:r>
            <w:r>
              <w:rPr>
                <w:noProof/>
                <w:webHidden/>
              </w:rPr>
              <w:t>13</w:t>
            </w:r>
            <w:r>
              <w:rPr>
                <w:noProof/>
                <w:webHidden/>
              </w:rPr>
              <w:fldChar w:fldCharType="end"/>
            </w:r>
          </w:hyperlink>
        </w:p>
        <w:p w14:paraId="2CE7482A" w14:textId="00F970C0"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89" w:history="1">
            <w:r w:rsidRPr="001F7918">
              <w:rPr>
                <w:rStyle w:val="Hyperlink"/>
                <w:noProof/>
                <w:lang w:eastAsia="da-DK"/>
              </w:rPr>
              <w:t>4.5.2</w:t>
            </w:r>
            <w:r>
              <w:rPr>
                <w:rFonts w:eastAsiaTheme="minorEastAsia"/>
                <w:noProof/>
                <w:kern w:val="2"/>
                <w:sz w:val="24"/>
                <w:szCs w:val="24"/>
                <w14:ligatures w14:val="standardContextual"/>
              </w:rPr>
              <w:tab/>
            </w:r>
            <w:r w:rsidRPr="001F7918">
              <w:rPr>
                <w:rStyle w:val="Hyperlink"/>
                <w:noProof/>
                <w:lang w:eastAsia="da-DK"/>
              </w:rPr>
              <w:t>User Satisfaction Metrics</w:t>
            </w:r>
            <w:r>
              <w:rPr>
                <w:noProof/>
                <w:webHidden/>
              </w:rPr>
              <w:tab/>
            </w:r>
            <w:r>
              <w:rPr>
                <w:noProof/>
                <w:webHidden/>
              </w:rPr>
              <w:fldChar w:fldCharType="begin"/>
            </w:r>
            <w:r>
              <w:rPr>
                <w:noProof/>
                <w:webHidden/>
              </w:rPr>
              <w:instrText xml:space="preserve"> PAGEREF _Toc206345389 \h </w:instrText>
            </w:r>
            <w:r>
              <w:rPr>
                <w:noProof/>
                <w:webHidden/>
              </w:rPr>
            </w:r>
            <w:r>
              <w:rPr>
                <w:noProof/>
                <w:webHidden/>
              </w:rPr>
              <w:fldChar w:fldCharType="separate"/>
            </w:r>
            <w:r>
              <w:rPr>
                <w:noProof/>
                <w:webHidden/>
              </w:rPr>
              <w:t>13</w:t>
            </w:r>
            <w:r>
              <w:rPr>
                <w:noProof/>
                <w:webHidden/>
              </w:rPr>
              <w:fldChar w:fldCharType="end"/>
            </w:r>
          </w:hyperlink>
        </w:p>
        <w:p w14:paraId="3FC8400F" w14:textId="1E7712CB"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90" w:history="1">
            <w:r w:rsidRPr="001F7918">
              <w:rPr>
                <w:rStyle w:val="Hyperlink"/>
                <w:noProof/>
                <w:lang w:eastAsia="da-DK"/>
              </w:rPr>
              <w:t>4.5.3</w:t>
            </w:r>
            <w:r>
              <w:rPr>
                <w:rFonts w:eastAsiaTheme="minorEastAsia"/>
                <w:noProof/>
                <w:kern w:val="2"/>
                <w:sz w:val="24"/>
                <w:szCs w:val="24"/>
                <w14:ligatures w14:val="standardContextual"/>
              </w:rPr>
              <w:tab/>
            </w:r>
            <w:r w:rsidRPr="001F7918">
              <w:rPr>
                <w:rStyle w:val="Hyperlink"/>
                <w:noProof/>
                <w:lang w:eastAsia="da-DK"/>
              </w:rPr>
              <w:t>Evaluating the Need for a Cloud Exit</w:t>
            </w:r>
            <w:r>
              <w:rPr>
                <w:noProof/>
                <w:webHidden/>
              </w:rPr>
              <w:tab/>
            </w:r>
            <w:r>
              <w:rPr>
                <w:noProof/>
                <w:webHidden/>
              </w:rPr>
              <w:fldChar w:fldCharType="begin"/>
            </w:r>
            <w:r>
              <w:rPr>
                <w:noProof/>
                <w:webHidden/>
              </w:rPr>
              <w:instrText xml:space="preserve"> PAGEREF _Toc206345390 \h </w:instrText>
            </w:r>
            <w:r>
              <w:rPr>
                <w:noProof/>
                <w:webHidden/>
              </w:rPr>
            </w:r>
            <w:r>
              <w:rPr>
                <w:noProof/>
                <w:webHidden/>
              </w:rPr>
              <w:fldChar w:fldCharType="separate"/>
            </w:r>
            <w:r>
              <w:rPr>
                <w:noProof/>
                <w:webHidden/>
              </w:rPr>
              <w:t>13</w:t>
            </w:r>
            <w:r>
              <w:rPr>
                <w:noProof/>
                <w:webHidden/>
              </w:rPr>
              <w:fldChar w:fldCharType="end"/>
            </w:r>
          </w:hyperlink>
        </w:p>
        <w:p w14:paraId="004E6043" w14:textId="2739C6AB" w:rsidR="00BA6D9E" w:rsidRDefault="00BA6D9E">
          <w:pPr>
            <w:pStyle w:val="TOC2"/>
            <w:tabs>
              <w:tab w:val="left" w:pos="880"/>
              <w:tab w:val="right" w:leader="dot" w:pos="9010"/>
            </w:tabs>
            <w:rPr>
              <w:rFonts w:eastAsiaTheme="minorEastAsia"/>
              <w:b w:val="0"/>
              <w:bCs w:val="0"/>
              <w:noProof/>
              <w:kern w:val="2"/>
              <w:sz w:val="24"/>
              <w:szCs w:val="24"/>
              <w14:ligatures w14:val="standardContextual"/>
            </w:rPr>
          </w:pPr>
          <w:hyperlink w:anchor="_Toc206345391" w:history="1">
            <w:r w:rsidRPr="001F7918">
              <w:rPr>
                <w:rStyle w:val="Hyperlink"/>
                <w:noProof/>
              </w:rPr>
              <w:t>4.6</w:t>
            </w:r>
            <w:r>
              <w:rPr>
                <w:rFonts w:eastAsiaTheme="minorEastAsia"/>
                <w:b w:val="0"/>
                <w:bCs w:val="0"/>
                <w:noProof/>
                <w:kern w:val="2"/>
                <w:sz w:val="24"/>
                <w:szCs w:val="24"/>
                <w14:ligatures w14:val="standardContextual"/>
              </w:rPr>
              <w:tab/>
            </w:r>
            <w:r w:rsidRPr="001F7918">
              <w:rPr>
                <w:rStyle w:val="Hyperlink"/>
                <w:noProof/>
              </w:rPr>
              <w:t>Scalability and Flexibility</w:t>
            </w:r>
            <w:r>
              <w:rPr>
                <w:noProof/>
                <w:webHidden/>
              </w:rPr>
              <w:tab/>
            </w:r>
            <w:r>
              <w:rPr>
                <w:noProof/>
                <w:webHidden/>
              </w:rPr>
              <w:fldChar w:fldCharType="begin"/>
            </w:r>
            <w:r>
              <w:rPr>
                <w:noProof/>
                <w:webHidden/>
              </w:rPr>
              <w:instrText xml:space="preserve"> PAGEREF _Toc206345391 \h </w:instrText>
            </w:r>
            <w:r>
              <w:rPr>
                <w:noProof/>
                <w:webHidden/>
              </w:rPr>
            </w:r>
            <w:r>
              <w:rPr>
                <w:noProof/>
                <w:webHidden/>
              </w:rPr>
              <w:fldChar w:fldCharType="separate"/>
            </w:r>
            <w:r>
              <w:rPr>
                <w:noProof/>
                <w:webHidden/>
              </w:rPr>
              <w:t>14</w:t>
            </w:r>
            <w:r>
              <w:rPr>
                <w:noProof/>
                <w:webHidden/>
              </w:rPr>
              <w:fldChar w:fldCharType="end"/>
            </w:r>
          </w:hyperlink>
        </w:p>
        <w:p w14:paraId="59CF9187" w14:textId="572E4DC5"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92" w:history="1">
            <w:r w:rsidRPr="001F7918">
              <w:rPr>
                <w:rStyle w:val="Hyperlink"/>
                <w:noProof/>
                <w:lang w:eastAsia="da-DK"/>
              </w:rPr>
              <w:t>4.6.1</w:t>
            </w:r>
            <w:r>
              <w:rPr>
                <w:rFonts w:eastAsiaTheme="minorEastAsia"/>
                <w:noProof/>
                <w:kern w:val="2"/>
                <w:sz w:val="24"/>
                <w:szCs w:val="24"/>
                <w14:ligatures w14:val="standardContextual"/>
              </w:rPr>
              <w:tab/>
            </w:r>
            <w:r w:rsidRPr="001F7918">
              <w:rPr>
                <w:rStyle w:val="Hyperlink"/>
                <w:noProof/>
                <w:lang w:eastAsia="da-DK"/>
              </w:rPr>
              <w:t>Importance of Scalability in Cloud Services</w:t>
            </w:r>
            <w:r>
              <w:rPr>
                <w:noProof/>
                <w:webHidden/>
              </w:rPr>
              <w:tab/>
            </w:r>
            <w:r>
              <w:rPr>
                <w:noProof/>
                <w:webHidden/>
              </w:rPr>
              <w:fldChar w:fldCharType="begin"/>
            </w:r>
            <w:r>
              <w:rPr>
                <w:noProof/>
                <w:webHidden/>
              </w:rPr>
              <w:instrText xml:space="preserve"> PAGEREF _Toc206345392 \h </w:instrText>
            </w:r>
            <w:r>
              <w:rPr>
                <w:noProof/>
                <w:webHidden/>
              </w:rPr>
            </w:r>
            <w:r>
              <w:rPr>
                <w:noProof/>
                <w:webHidden/>
              </w:rPr>
              <w:fldChar w:fldCharType="separate"/>
            </w:r>
            <w:r>
              <w:rPr>
                <w:noProof/>
                <w:webHidden/>
              </w:rPr>
              <w:t>14</w:t>
            </w:r>
            <w:r>
              <w:rPr>
                <w:noProof/>
                <w:webHidden/>
              </w:rPr>
              <w:fldChar w:fldCharType="end"/>
            </w:r>
          </w:hyperlink>
        </w:p>
        <w:p w14:paraId="0B0EC1D0" w14:textId="5894E20A"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93" w:history="1">
            <w:r w:rsidRPr="001F7918">
              <w:rPr>
                <w:rStyle w:val="Hyperlink"/>
                <w:noProof/>
              </w:rPr>
              <w:t>4.6.2</w:t>
            </w:r>
            <w:r>
              <w:rPr>
                <w:rFonts w:eastAsiaTheme="minorEastAsia"/>
                <w:noProof/>
                <w:kern w:val="2"/>
                <w:sz w:val="24"/>
                <w:szCs w:val="24"/>
                <w14:ligatures w14:val="standardContextual"/>
              </w:rPr>
              <w:tab/>
            </w:r>
            <w:r w:rsidRPr="001F7918">
              <w:rPr>
                <w:rStyle w:val="Hyperlink"/>
                <w:noProof/>
              </w:rPr>
              <w:t>Flexibility Considerations</w:t>
            </w:r>
            <w:r>
              <w:rPr>
                <w:noProof/>
                <w:webHidden/>
              </w:rPr>
              <w:tab/>
            </w:r>
            <w:r>
              <w:rPr>
                <w:noProof/>
                <w:webHidden/>
              </w:rPr>
              <w:fldChar w:fldCharType="begin"/>
            </w:r>
            <w:r>
              <w:rPr>
                <w:noProof/>
                <w:webHidden/>
              </w:rPr>
              <w:instrText xml:space="preserve"> PAGEREF _Toc206345393 \h </w:instrText>
            </w:r>
            <w:r>
              <w:rPr>
                <w:noProof/>
                <w:webHidden/>
              </w:rPr>
            </w:r>
            <w:r>
              <w:rPr>
                <w:noProof/>
                <w:webHidden/>
              </w:rPr>
              <w:fldChar w:fldCharType="separate"/>
            </w:r>
            <w:r>
              <w:rPr>
                <w:noProof/>
                <w:webHidden/>
              </w:rPr>
              <w:t>14</w:t>
            </w:r>
            <w:r>
              <w:rPr>
                <w:noProof/>
                <w:webHidden/>
              </w:rPr>
              <w:fldChar w:fldCharType="end"/>
            </w:r>
          </w:hyperlink>
        </w:p>
        <w:p w14:paraId="502DFB4A" w14:textId="2713F194"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94" w:history="1">
            <w:r w:rsidRPr="001F7918">
              <w:rPr>
                <w:rStyle w:val="Hyperlink"/>
                <w:noProof/>
                <w:lang w:eastAsia="da-DK"/>
              </w:rPr>
              <w:t>4.6.3</w:t>
            </w:r>
            <w:r>
              <w:rPr>
                <w:rFonts w:eastAsiaTheme="minorEastAsia"/>
                <w:noProof/>
                <w:kern w:val="2"/>
                <w:sz w:val="24"/>
                <w:szCs w:val="24"/>
                <w14:ligatures w14:val="standardContextual"/>
              </w:rPr>
              <w:tab/>
            </w:r>
            <w:r w:rsidRPr="001F7918">
              <w:rPr>
                <w:rStyle w:val="Hyperlink"/>
                <w:noProof/>
                <w:lang w:eastAsia="da-DK"/>
              </w:rPr>
              <w:t>Strategies for Ensuring Scalability and Flexibility</w:t>
            </w:r>
            <w:r>
              <w:rPr>
                <w:noProof/>
                <w:webHidden/>
              </w:rPr>
              <w:tab/>
            </w:r>
            <w:r>
              <w:rPr>
                <w:noProof/>
                <w:webHidden/>
              </w:rPr>
              <w:fldChar w:fldCharType="begin"/>
            </w:r>
            <w:r>
              <w:rPr>
                <w:noProof/>
                <w:webHidden/>
              </w:rPr>
              <w:instrText xml:space="preserve"> PAGEREF _Toc206345394 \h </w:instrText>
            </w:r>
            <w:r>
              <w:rPr>
                <w:noProof/>
                <w:webHidden/>
              </w:rPr>
            </w:r>
            <w:r>
              <w:rPr>
                <w:noProof/>
                <w:webHidden/>
              </w:rPr>
              <w:fldChar w:fldCharType="separate"/>
            </w:r>
            <w:r>
              <w:rPr>
                <w:noProof/>
                <w:webHidden/>
              </w:rPr>
              <w:t>14</w:t>
            </w:r>
            <w:r>
              <w:rPr>
                <w:noProof/>
                <w:webHidden/>
              </w:rPr>
              <w:fldChar w:fldCharType="end"/>
            </w:r>
          </w:hyperlink>
        </w:p>
        <w:p w14:paraId="0F0E1E9A" w14:textId="5D6EF328" w:rsidR="00BA6D9E" w:rsidRDefault="00BA6D9E">
          <w:pPr>
            <w:pStyle w:val="TOC3"/>
            <w:tabs>
              <w:tab w:val="left" w:pos="1320"/>
              <w:tab w:val="right" w:leader="dot" w:pos="9010"/>
            </w:tabs>
            <w:rPr>
              <w:rFonts w:eastAsiaTheme="minorEastAsia"/>
              <w:noProof/>
              <w:kern w:val="2"/>
              <w:sz w:val="24"/>
              <w:szCs w:val="24"/>
              <w14:ligatures w14:val="standardContextual"/>
            </w:rPr>
          </w:pPr>
          <w:hyperlink w:anchor="_Toc206345395" w:history="1">
            <w:r w:rsidRPr="001F7918">
              <w:rPr>
                <w:rStyle w:val="Hyperlink"/>
                <w:noProof/>
                <w:lang w:eastAsia="da-DK"/>
              </w:rPr>
              <w:t>4.6.4</w:t>
            </w:r>
            <w:r>
              <w:rPr>
                <w:rFonts w:eastAsiaTheme="minorEastAsia"/>
                <w:noProof/>
                <w:kern w:val="2"/>
                <w:sz w:val="24"/>
                <w:szCs w:val="24"/>
                <w14:ligatures w14:val="standardContextual"/>
              </w:rPr>
              <w:tab/>
            </w:r>
            <w:r w:rsidRPr="001F7918">
              <w:rPr>
                <w:rStyle w:val="Hyperlink"/>
                <w:noProof/>
                <w:lang w:eastAsia="da-DK"/>
              </w:rPr>
              <w:t>Exit Considerations for Scalability and Flexibility</w:t>
            </w:r>
            <w:r>
              <w:rPr>
                <w:noProof/>
                <w:webHidden/>
              </w:rPr>
              <w:tab/>
            </w:r>
            <w:r>
              <w:rPr>
                <w:noProof/>
                <w:webHidden/>
              </w:rPr>
              <w:fldChar w:fldCharType="begin"/>
            </w:r>
            <w:r>
              <w:rPr>
                <w:noProof/>
                <w:webHidden/>
              </w:rPr>
              <w:instrText xml:space="preserve"> PAGEREF _Toc206345395 \h </w:instrText>
            </w:r>
            <w:r>
              <w:rPr>
                <w:noProof/>
                <w:webHidden/>
              </w:rPr>
            </w:r>
            <w:r>
              <w:rPr>
                <w:noProof/>
                <w:webHidden/>
              </w:rPr>
              <w:fldChar w:fldCharType="separate"/>
            </w:r>
            <w:r>
              <w:rPr>
                <w:noProof/>
                <w:webHidden/>
              </w:rPr>
              <w:t>14</w:t>
            </w:r>
            <w:r>
              <w:rPr>
                <w:noProof/>
                <w:webHidden/>
              </w:rPr>
              <w:fldChar w:fldCharType="end"/>
            </w:r>
          </w:hyperlink>
        </w:p>
        <w:p w14:paraId="2BB8AFD2" w14:textId="50B80379" w:rsidR="00BA6D9E" w:rsidRDefault="00BA6D9E">
          <w:pPr>
            <w:pStyle w:val="TOC1"/>
            <w:rPr>
              <w:rFonts w:eastAsiaTheme="minorEastAsia"/>
              <w:b w:val="0"/>
              <w:bCs w:val="0"/>
              <w:noProof/>
              <w:kern w:val="2"/>
              <w14:ligatures w14:val="standardContextual"/>
            </w:rPr>
          </w:pPr>
          <w:hyperlink w:anchor="_Toc206345396" w:history="1">
            <w:r w:rsidRPr="001F7918">
              <w:rPr>
                <w:rStyle w:val="Hyperlink"/>
                <w:noProof/>
                <w:lang w:val="en-GB"/>
              </w:rPr>
              <w:t>5</w:t>
            </w:r>
            <w:r>
              <w:rPr>
                <w:rFonts w:eastAsiaTheme="minorEastAsia"/>
                <w:b w:val="0"/>
                <w:bCs w:val="0"/>
                <w:noProof/>
                <w:kern w:val="2"/>
                <w14:ligatures w14:val="standardContextual"/>
              </w:rPr>
              <w:tab/>
            </w:r>
            <w:r w:rsidRPr="001F7918">
              <w:rPr>
                <w:rStyle w:val="Hyperlink"/>
                <w:noProof/>
                <w:lang w:val="en-GB"/>
              </w:rPr>
              <w:t>Cloud Escrow Service</w:t>
            </w:r>
            <w:r>
              <w:rPr>
                <w:noProof/>
                <w:webHidden/>
              </w:rPr>
              <w:tab/>
            </w:r>
            <w:r>
              <w:rPr>
                <w:noProof/>
                <w:webHidden/>
              </w:rPr>
              <w:fldChar w:fldCharType="begin"/>
            </w:r>
            <w:r>
              <w:rPr>
                <w:noProof/>
                <w:webHidden/>
              </w:rPr>
              <w:instrText xml:space="preserve"> PAGEREF _Toc206345396 \h </w:instrText>
            </w:r>
            <w:r>
              <w:rPr>
                <w:noProof/>
                <w:webHidden/>
              </w:rPr>
            </w:r>
            <w:r>
              <w:rPr>
                <w:noProof/>
                <w:webHidden/>
              </w:rPr>
              <w:fldChar w:fldCharType="separate"/>
            </w:r>
            <w:r>
              <w:rPr>
                <w:noProof/>
                <w:webHidden/>
              </w:rPr>
              <w:t>15</w:t>
            </w:r>
            <w:r>
              <w:rPr>
                <w:noProof/>
                <w:webHidden/>
              </w:rPr>
              <w:fldChar w:fldCharType="end"/>
            </w:r>
          </w:hyperlink>
        </w:p>
        <w:p w14:paraId="673DD5C4" w14:textId="09D545F4" w:rsidR="00BA6D9E" w:rsidRDefault="00BA6D9E">
          <w:pPr>
            <w:pStyle w:val="TOC1"/>
            <w:rPr>
              <w:rFonts w:eastAsiaTheme="minorEastAsia"/>
              <w:b w:val="0"/>
              <w:bCs w:val="0"/>
              <w:noProof/>
              <w:kern w:val="2"/>
              <w14:ligatures w14:val="standardContextual"/>
            </w:rPr>
          </w:pPr>
          <w:hyperlink w:anchor="_Toc206345397" w:history="1">
            <w:r w:rsidRPr="001F7918">
              <w:rPr>
                <w:rStyle w:val="Hyperlink"/>
                <w:noProof/>
                <w:lang w:val="en-GB"/>
              </w:rPr>
              <w:t>6</w:t>
            </w:r>
            <w:r>
              <w:rPr>
                <w:rFonts w:eastAsiaTheme="minorEastAsia"/>
                <w:b w:val="0"/>
                <w:bCs w:val="0"/>
                <w:noProof/>
                <w:kern w:val="2"/>
                <w14:ligatures w14:val="standardContextual"/>
              </w:rPr>
              <w:tab/>
            </w:r>
            <w:r w:rsidRPr="001F7918">
              <w:rPr>
                <w:rStyle w:val="Hyperlink"/>
                <w:noProof/>
                <w:lang w:val="en-GB"/>
              </w:rPr>
              <w:t>Glossary</w:t>
            </w:r>
            <w:r>
              <w:rPr>
                <w:noProof/>
                <w:webHidden/>
              </w:rPr>
              <w:tab/>
            </w:r>
            <w:r>
              <w:rPr>
                <w:noProof/>
                <w:webHidden/>
              </w:rPr>
              <w:fldChar w:fldCharType="begin"/>
            </w:r>
            <w:r>
              <w:rPr>
                <w:noProof/>
                <w:webHidden/>
              </w:rPr>
              <w:instrText xml:space="preserve"> PAGEREF _Toc206345397 \h </w:instrText>
            </w:r>
            <w:r>
              <w:rPr>
                <w:noProof/>
                <w:webHidden/>
              </w:rPr>
            </w:r>
            <w:r>
              <w:rPr>
                <w:noProof/>
                <w:webHidden/>
              </w:rPr>
              <w:fldChar w:fldCharType="separate"/>
            </w:r>
            <w:r>
              <w:rPr>
                <w:noProof/>
                <w:webHidden/>
              </w:rPr>
              <w:t>15</w:t>
            </w:r>
            <w:r>
              <w:rPr>
                <w:noProof/>
                <w:webHidden/>
              </w:rPr>
              <w:fldChar w:fldCharType="end"/>
            </w:r>
          </w:hyperlink>
        </w:p>
        <w:p w14:paraId="4A3EAF2C" w14:textId="72E37809" w:rsidR="00BA6D9E" w:rsidRDefault="00BA6D9E">
          <w:pPr>
            <w:pStyle w:val="TOC1"/>
            <w:rPr>
              <w:rFonts w:eastAsiaTheme="minorEastAsia"/>
              <w:b w:val="0"/>
              <w:bCs w:val="0"/>
              <w:noProof/>
              <w:kern w:val="2"/>
              <w14:ligatures w14:val="standardContextual"/>
            </w:rPr>
          </w:pPr>
          <w:hyperlink w:anchor="_Toc206345398" w:history="1">
            <w:r w:rsidRPr="001F7918">
              <w:rPr>
                <w:rStyle w:val="Hyperlink"/>
                <w:noProof/>
                <w:lang w:val="en-GB"/>
              </w:rPr>
              <w:t>7</w:t>
            </w:r>
            <w:r>
              <w:rPr>
                <w:rFonts w:eastAsiaTheme="minorEastAsia"/>
                <w:b w:val="0"/>
                <w:bCs w:val="0"/>
                <w:noProof/>
                <w:kern w:val="2"/>
                <w14:ligatures w14:val="standardContextual"/>
              </w:rPr>
              <w:tab/>
            </w:r>
            <w:r w:rsidRPr="001F7918">
              <w:rPr>
                <w:rStyle w:val="Hyperlink"/>
                <w:noProof/>
                <w:lang w:val="en-GB"/>
              </w:rPr>
              <w:t>References</w:t>
            </w:r>
            <w:r>
              <w:rPr>
                <w:noProof/>
                <w:webHidden/>
              </w:rPr>
              <w:tab/>
            </w:r>
            <w:r>
              <w:rPr>
                <w:noProof/>
                <w:webHidden/>
              </w:rPr>
              <w:fldChar w:fldCharType="begin"/>
            </w:r>
            <w:r>
              <w:rPr>
                <w:noProof/>
                <w:webHidden/>
              </w:rPr>
              <w:instrText xml:space="preserve"> PAGEREF _Toc206345398 \h </w:instrText>
            </w:r>
            <w:r>
              <w:rPr>
                <w:noProof/>
                <w:webHidden/>
              </w:rPr>
            </w:r>
            <w:r>
              <w:rPr>
                <w:noProof/>
                <w:webHidden/>
              </w:rPr>
              <w:fldChar w:fldCharType="separate"/>
            </w:r>
            <w:r>
              <w:rPr>
                <w:noProof/>
                <w:webHidden/>
              </w:rPr>
              <w:t>15</w:t>
            </w:r>
            <w:r>
              <w:rPr>
                <w:noProof/>
                <w:webHidden/>
              </w:rPr>
              <w:fldChar w:fldCharType="end"/>
            </w:r>
          </w:hyperlink>
        </w:p>
        <w:p w14:paraId="4FECFFBB" w14:textId="61D30532" w:rsidR="6F3AAE03" w:rsidRDefault="6F3AAE03" w:rsidP="13D80777">
          <w:pPr>
            <w:pStyle w:val="TOC1"/>
            <w:tabs>
              <w:tab w:val="clear" w:pos="440"/>
              <w:tab w:val="clear" w:pos="9010"/>
              <w:tab w:val="left" w:pos="435"/>
              <w:tab w:val="right" w:leader="dot" w:pos="9000"/>
            </w:tabs>
            <w:rPr>
              <w:noProof/>
            </w:rPr>
          </w:pPr>
          <w:r>
            <w:fldChar w:fldCharType="end"/>
          </w:r>
        </w:p>
      </w:sdtContent>
    </w:sdt>
    <w:p w14:paraId="0B25A152" w14:textId="26530FA0" w:rsidR="001D765D" w:rsidRPr="002D197E" w:rsidRDefault="001D765D">
      <w:pPr>
        <w:rPr>
          <w:lang w:val="en-GB"/>
        </w:rPr>
      </w:pPr>
    </w:p>
    <w:p w14:paraId="3F3B2963" w14:textId="005DDF2E" w:rsidR="001D765D" w:rsidRPr="002D197E" w:rsidRDefault="001D765D">
      <w:pPr>
        <w:rPr>
          <w:b/>
          <w:bCs/>
          <w:noProof/>
          <w:lang w:val="en-GB"/>
        </w:rPr>
      </w:pPr>
      <w:r w:rsidRPr="002D197E">
        <w:rPr>
          <w:b/>
          <w:bCs/>
          <w:noProof/>
          <w:lang w:val="en-GB"/>
        </w:rPr>
        <w:br w:type="page"/>
      </w:r>
    </w:p>
    <w:p w14:paraId="06A7656E" w14:textId="6E515E33" w:rsidR="00A10676" w:rsidRPr="002D197E" w:rsidRDefault="006A478A" w:rsidP="00AA671B">
      <w:pPr>
        <w:pStyle w:val="Heading1"/>
        <w:rPr>
          <w:lang w:val="en-GB"/>
        </w:rPr>
      </w:pPr>
      <w:bookmarkStart w:id="0" w:name="_Toc272518900"/>
      <w:bookmarkStart w:id="1" w:name="_Toc3214413"/>
      <w:bookmarkStart w:id="2" w:name="_Toc3214463"/>
      <w:bookmarkStart w:id="3" w:name="_Toc3214592"/>
      <w:bookmarkStart w:id="4" w:name="_Toc206345370"/>
      <w:r w:rsidRPr="6F3AAE03">
        <w:rPr>
          <w:lang w:val="en-GB"/>
        </w:rPr>
        <w:lastRenderedPageBreak/>
        <w:t>Scope</w:t>
      </w:r>
      <w:bookmarkEnd w:id="0"/>
      <w:bookmarkEnd w:id="1"/>
      <w:bookmarkEnd w:id="2"/>
      <w:bookmarkEnd w:id="3"/>
      <w:bookmarkEnd w:id="4"/>
    </w:p>
    <w:p w14:paraId="5EEAEE72" w14:textId="077C50DF" w:rsidR="00430F2E" w:rsidRPr="002D197E" w:rsidRDefault="00430F2E" w:rsidP="00430F2E">
      <w:pPr>
        <w:jc w:val="both"/>
        <w:rPr>
          <w:lang w:val="en-GB"/>
        </w:rPr>
      </w:pPr>
      <w:r w:rsidRPr="002D197E">
        <w:rPr>
          <w:lang w:val="en-GB"/>
        </w:rPr>
        <w:t xml:space="preserve">In adopting cloud-based solutions for GxP workloads, understanding the essential characteristics of cloud services and solutions is important for determining the applicability of GxP requirements to specific Cloud Service Providers and/ or cloud-based solution models. </w:t>
      </w:r>
    </w:p>
    <w:p w14:paraId="55703AA9" w14:textId="3C4B0CBC" w:rsidR="00664AF0" w:rsidRPr="002D197E" w:rsidRDefault="006F19D0" w:rsidP="00430F2E">
      <w:pPr>
        <w:jc w:val="both"/>
        <w:rPr>
          <w:lang w:val="en-GB"/>
        </w:rPr>
      </w:pPr>
      <w:r w:rsidRPr="002D197E">
        <w:rPr>
          <w:noProof/>
        </w:rPr>
        <mc:AlternateContent>
          <mc:Choice Requires="wps">
            <w:drawing>
              <wp:anchor distT="0" distB="0" distL="114300" distR="114300" simplePos="0" relativeHeight="251663360" behindDoc="0" locked="0" layoutInCell="1" allowOverlap="1" wp14:anchorId="51D42245" wp14:editId="0EE9D29C">
                <wp:simplePos x="0" y="0"/>
                <wp:positionH relativeFrom="column">
                  <wp:posOffset>522605</wp:posOffset>
                </wp:positionH>
                <wp:positionV relativeFrom="paragraph">
                  <wp:posOffset>76200</wp:posOffset>
                </wp:positionV>
                <wp:extent cx="4796155" cy="1368425"/>
                <wp:effectExtent l="0" t="0" r="23495" b="22225"/>
                <wp:wrapSquare wrapText="bothSides"/>
                <wp:docPr id="3" name="Text Box 3"/>
                <wp:cNvGraphicFramePr/>
                <a:graphic xmlns:a="http://schemas.openxmlformats.org/drawingml/2006/main">
                  <a:graphicData uri="http://schemas.microsoft.com/office/word/2010/wordprocessingShape">
                    <wps:wsp>
                      <wps:cNvSpPr txBox="1"/>
                      <wps:spPr>
                        <a:xfrm>
                          <a:off x="0" y="0"/>
                          <a:ext cx="4796155" cy="1368425"/>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1EA5AE5" w14:textId="42E5779C" w:rsidR="00F9494F" w:rsidRDefault="00F9494F" w:rsidP="00F9494F">
                            <w:pPr>
                              <w:pStyle w:val="ListNumber"/>
                              <w:numPr>
                                <w:ilvl w:val="0"/>
                                <w:numId w:val="0"/>
                              </w:numPr>
                              <w:rPr>
                                <w:i/>
                                <w:color w:val="2E74B5" w:themeColor="accent1" w:themeShade="BF"/>
                              </w:rPr>
                            </w:pPr>
                            <w:r w:rsidRPr="00664AF0">
                              <w:rPr>
                                <w:i/>
                                <w:color w:val="2E74B5" w:themeColor="accent1" w:themeShade="BF"/>
                              </w:rPr>
                              <w:t xml:space="preserve">This document provides </w:t>
                            </w:r>
                            <w:r w:rsidRPr="000F4AA0">
                              <w:rPr>
                                <w:i/>
                                <w:color w:val="2E74B5" w:themeColor="accent1" w:themeShade="BF"/>
                              </w:rPr>
                              <w:t xml:space="preserve">guidance in preparing and conducting </w:t>
                            </w:r>
                            <w:r w:rsidR="000A5293">
                              <w:rPr>
                                <w:i/>
                                <w:color w:val="2E74B5" w:themeColor="accent1" w:themeShade="BF"/>
                              </w:rPr>
                              <w:t xml:space="preserve">an Exit strategy in relation to working with </w:t>
                            </w:r>
                            <w:r w:rsidRPr="000F4AA0">
                              <w:rPr>
                                <w:i/>
                                <w:color w:val="2E74B5" w:themeColor="accent1" w:themeShade="BF"/>
                              </w:rPr>
                              <w:t>Cloud Service Provider</w:t>
                            </w:r>
                            <w:r w:rsidR="000A5293">
                              <w:rPr>
                                <w:i/>
                                <w:color w:val="2E74B5" w:themeColor="accent1" w:themeShade="BF"/>
                              </w:rPr>
                              <w:t>s.</w:t>
                            </w:r>
                            <w:r w:rsidRPr="00664AF0">
                              <w:rPr>
                                <w:i/>
                                <w:color w:val="2E74B5" w:themeColor="accent1" w:themeShade="BF"/>
                              </w:rPr>
                              <w:t>.</w:t>
                            </w:r>
                          </w:p>
                          <w:p w14:paraId="56ADCECB" w14:textId="330C0749" w:rsidR="00F9494F" w:rsidRDefault="00F9494F" w:rsidP="00F9494F">
                            <w:pPr>
                              <w:pStyle w:val="ListNumber"/>
                              <w:numPr>
                                <w:ilvl w:val="0"/>
                                <w:numId w:val="0"/>
                              </w:numPr>
                              <w:rPr>
                                <w:i/>
                                <w:color w:val="2E74B5" w:themeColor="accent1" w:themeShade="BF"/>
                              </w:rPr>
                            </w:pPr>
                            <w:r w:rsidRPr="006F77B3">
                              <w:rPr>
                                <w:i/>
                                <w:color w:val="2E74B5" w:themeColor="accent1" w:themeShade="BF"/>
                              </w:rPr>
                              <w:t xml:space="preserve">It is one of </w:t>
                            </w:r>
                            <w:r w:rsidR="000A5293" w:rsidRPr="006F77B3">
                              <w:rPr>
                                <w:i/>
                                <w:color w:val="2E74B5" w:themeColor="accent1" w:themeShade="BF"/>
                              </w:rPr>
                              <w:t>four</w:t>
                            </w:r>
                            <w:r w:rsidRPr="006F77B3">
                              <w:rPr>
                                <w:i/>
                                <w:color w:val="2E74B5" w:themeColor="accent1" w:themeShade="BF"/>
                              </w:rPr>
                              <w:t xml:space="preserve"> supplements to the “Cloud Services – Pre-Amble” ref </w:t>
                            </w:r>
                            <w:r w:rsidRPr="006F77B3">
                              <w:rPr>
                                <w:i/>
                                <w:color w:val="2E74B5" w:themeColor="accent1" w:themeShade="BF"/>
                              </w:rPr>
                              <w:fldChar w:fldCharType="begin"/>
                            </w:r>
                            <w:r w:rsidRPr="006F77B3">
                              <w:rPr>
                                <w:i/>
                                <w:color w:val="2E74B5" w:themeColor="accent1" w:themeShade="BF"/>
                              </w:rPr>
                              <w:instrText xml:space="preserve"> REF _Ref526705484 \r \h  \* MERGEFORMAT </w:instrText>
                            </w:r>
                            <w:r w:rsidRPr="006F77B3">
                              <w:rPr>
                                <w:i/>
                                <w:color w:val="2E74B5" w:themeColor="accent1" w:themeShade="BF"/>
                              </w:rPr>
                            </w:r>
                            <w:r w:rsidRPr="006F77B3">
                              <w:rPr>
                                <w:i/>
                                <w:color w:val="2E74B5" w:themeColor="accent1" w:themeShade="BF"/>
                              </w:rPr>
                              <w:fldChar w:fldCharType="separate"/>
                            </w:r>
                            <w:r w:rsidRPr="006F77B3">
                              <w:rPr>
                                <w:i/>
                                <w:color w:val="2E74B5" w:themeColor="accent1" w:themeShade="BF"/>
                              </w:rPr>
                              <w:t>[5]</w:t>
                            </w:r>
                            <w:r w:rsidRPr="006F77B3">
                              <w:rPr>
                                <w:i/>
                                <w:color w:val="2E74B5" w:themeColor="accent1" w:themeShade="BF"/>
                              </w:rPr>
                              <w:fldChar w:fldCharType="end"/>
                            </w:r>
                            <w:r w:rsidRPr="006F77B3">
                              <w:rPr>
                                <w:i/>
                                <w:color w:val="2E74B5" w:themeColor="accent1" w:themeShade="BF"/>
                              </w:rPr>
                              <w:t xml:space="preserve"> which all together form the</w:t>
                            </w:r>
                            <w:r w:rsidRPr="00664AF0">
                              <w:rPr>
                                <w:i/>
                                <w:color w:val="2E74B5" w:themeColor="accent1" w:themeShade="BF"/>
                              </w:rPr>
                              <w:t xml:space="preserve"> </w:t>
                            </w:r>
                          </w:p>
                          <w:p w14:paraId="64E32626" w14:textId="2E0AF0CE" w:rsidR="00F9494F" w:rsidRPr="009B4C6B" w:rsidRDefault="00F9494F" w:rsidP="00F9494F">
                            <w:pPr>
                              <w:pStyle w:val="ListNumber"/>
                              <w:numPr>
                                <w:ilvl w:val="0"/>
                                <w:numId w:val="0"/>
                              </w:numPr>
                              <w:rPr>
                                <w:i/>
                                <w:color w:val="2E74B5" w:themeColor="accent1" w:themeShade="BF"/>
                              </w:rPr>
                            </w:pPr>
                            <w:r w:rsidRPr="00664AF0">
                              <w:rPr>
                                <w:i/>
                                <w:color w:val="2E74B5" w:themeColor="accent1" w:themeShade="BF"/>
                              </w:rPr>
                              <w:t xml:space="preserve">“Framework for Adoption of Cloud Services in the Regulated Life Science Industry” from </w:t>
                            </w:r>
                            <w:r w:rsidR="000757AB">
                              <w:rPr>
                                <w:i/>
                                <w:color w:val="2E74B5" w:themeColor="accent1" w:themeShade="BF"/>
                              </w:rPr>
                              <w:t>PHUSE</w:t>
                            </w:r>
                            <w:r w:rsidRPr="00664AF0">
                              <w:rPr>
                                <w:i/>
                                <w:color w:val="2E74B5" w:themeColor="accent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42245" id="_x0000_t202" coordsize="21600,21600" o:spt="202" path="m,l,21600r21600,l21600,xe">
                <v:stroke joinstyle="miter"/>
                <v:path gradientshapeok="t" o:connecttype="rect"/>
              </v:shapetype>
              <v:shape id="Text Box 3" o:spid="_x0000_s1026" type="#_x0000_t202" style="position:absolute;left:0;text-align:left;margin-left:41.15pt;margin-top:6pt;width:377.65pt;height:1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" filled="f" strokecolor="#5b9bd5 [3204]">
                <v:textbox>
                  <w:txbxContent>
                    <w:p w14:paraId="41EA5AE5" w14:textId="42E5779C" w:rsidR="00F9494F" w:rsidRDefault="00F9494F" w:rsidP="00F9494F">
                      <w:pPr>
                        <w:pStyle w:val="ListNumber"/>
                        <w:numPr>
                          <w:ilvl w:val="0"/>
                          <w:numId w:val="0"/>
                        </w:numPr>
                        <w:rPr>
                          <w:i/>
                          <w:color w:val="2E74B5" w:themeColor="accent1" w:themeShade="BF"/>
                        </w:rPr>
                      </w:pPr>
                      <w:r w:rsidRPr="00664AF0">
                        <w:rPr>
                          <w:i/>
                          <w:color w:val="2E74B5" w:themeColor="accent1" w:themeShade="BF"/>
                        </w:rPr>
                        <w:t xml:space="preserve">This document provides </w:t>
                      </w:r>
                      <w:r w:rsidRPr="000F4AA0">
                        <w:rPr>
                          <w:i/>
                          <w:color w:val="2E74B5" w:themeColor="accent1" w:themeShade="BF"/>
                        </w:rPr>
                        <w:t xml:space="preserve">guidance in preparing and conducting </w:t>
                      </w:r>
                      <w:r w:rsidR="000A5293">
                        <w:rPr>
                          <w:i/>
                          <w:color w:val="2E74B5" w:themeColor="accent1" w:themeShade="BF"/>
                        </w:rPr>
                        <w:t xml:space="preserve">an Exit strategy in relation to working with </w:t>
                      </w:r>
                      <w:r w:rsidRPr="000F4AA0">
                        <w:rPr>
                          <w:i/>
                          <w:color w:val="2E74B5" w:themeColor="accent1" w:themeShade="BF"/>
                        </w:rPr>
                        <w:t>Cloud Service Provider</w:t>
                      </w:r>
                      <w:r w:rsidR="000A5293">
                        <w:rPr>
                          <w:i/>
                          <w:color w:val="2E74B5" w:themeColor="accent1" w:themeShade="BF"/>
                        </w:rPr>
                        <w:t>s.</w:t>
                      </w:r>
                      <w:r w:rsidRPr="00664AF0">
                        <w:rPr>
                          <w:i/>
                          <w:color w:val="2E74B5" w:themeColor="accent1" w:themeShade="BF"/>
                        </w:rPr>
                        <w:t>.</w:t>
                      </w:r>
                    </w:p>
                    <w:p w14:paraId="56ADCECB" w14:textId="330C0749" w:rsidR="00F9494F" w:rsidRDefault="00F9494F" w:rsidP="00F9494F">
                      <w:pPr>
                        <w:pStyle w:val="ListNumber"/>
                        <w:numPr>
                          <w:ilvl w:val="0"/>
                          <w:numId w:val="0"/>
                        </w:numPr>
                        <w:rPr>
                          <w:i/>
                          <w:color w:val="2E74B5" w:themeColor="accent1" w:themeShade="BF"/>
                        </w:rPr>
                      </w:pPr>
                      <w:r w:rsidRPr="006F77B3">
                        <w:rPr>
                          <w:i/>
                          <w:color w:val="2E74B5" w:themeColor="accent1" w:themeShade="BF"/>
                        </w:rPr>
                        <w:t xml:space="preserve">It is one of </w:t>
                      </w:r>
                      <w:r w:rsidR="000A5293" w:rsidRPr="006F77B3">
                        <w:rPr>
                          <w:i/>
                          <w:color w:val="2E74B5" w:themeColor="accent1" w:themeShade="BF"/>
                        </w:rPr>
                        <w:t>four</w:t>
                      </w:r>
                      <w:r w:rsidRPr="006F77B3">
                        <w:rPr>
                          <w:i/>
                          <w:color w:val="2E74B5" w:themeColor="accent1" w:themeShade="BF"/>
                        </w:rPr>
                        <w:t xml:space="preserve"> supplements to the “Cloud Services – Pre-Amble” ref </w:t>
                      </w:r>
                      <w:r w:rsidRPr="006F77B3">
                        <w:rPr>
                          <w:i/>
                          <w:color w:val="2E74B5" w:themeColor="accent1" w:themeShade="BF"/>
                        </w:rPr>
                        <w:fldChar w:fldCharType="begin"/>
                      </w:r>
                      <w:r w:rsidRPr="006F77B3">
                        <w:rPr>
                          <w:i/>
                          <w:color w:val="2E74B5" w:themeColor="accent1" w:themeShade="BF"/>
                        </w:rPr>
                        <w:instrText xml:space="preserve"> REF _Ref526705484 \r \h  \* MERGEFORMAT </w:instrText>
                      </w:r>
                      <w:r w:rsidRPr="006F77B3">
                        <w:rPr>
                          <w:i/>
                          <w:color w:val="2E74B5" w:themeColor="accent1" w:themeShade="BF"/>
                        </w:rPr>
                      </w:r>
                      <w:r w:rsidRPr="006F77B3">
                        <w:rPr>
                          <w:i/>
                          <w:color w:val="2E74B5" w:themeColor="accent1" w:themeShade="BF"/>
                        </w:rPr>
                        <w:fldChar w:fldCharType="separate"/>
                      </w:r>
                      <w:r w:rsidRPr="006F77B3">
                        <w:rPr>
                          <w:i/>
                          <w:color w:val="2E74B5" w:themeColor="accent1" w:themeShade="BF"/>
                        </w:rPr>
                        <w:t>[5]</w:t>
                      </w:r>
                      <w:r w:rsidRPr="006F77B3">
                        <w:rPr>
                          <w:i/>
                          <w:color w:val="2E74B5" w:themeColor="accent1" w:themeShade="BF"/>
                        </w:rPr>
                        <w:fldChar w:fldCharType="end"/>
                      </w:r>
                      <w:r w:rsidRPr="006F77B3">
                        <w:rPr>
                          <w:i/>
                          <w:color w:val="2E74B5" w:themeColor="accent1" w:themeShade="BF"/>
                        </w:rPr>
                        <w:t xml:space="preserve"> which all together form the</w:t>
                      </w:r>
                      <w:r w:rsidRPr="00664AF0">
                        <w:rPr>
                          <w:i/>
                          <w:color w:val="2E74B5" w:themeColor="accent1" w:themeShade="BF"/>
                        </w:rPr>
                        <w:t xml:space="preserve"> </w:t>
                      </w:r>
                    </w:p>
                    <w:p w14:paraId="64E32626" w14:textId="2E0AF0CE" w:rsidR="00F9494F" w:rsidRPr="009B4C6B" w:rsidRDefault="00F9494F" w:rsidP="00F9494F">
                      <w:pPr>
                        <w:pStyle w:val="ListNumber"/>
                        <w:numPr>
                          <w:ilvl w:val="0"/>
                          <w:numId w:val="0"/>
                        </w:numPr>
                        <w:rPr>
                          <w:i/>
                          <w:color w:val="2E74B5" w:themeColor="accent1" w:themeShade="BF"/>
                        </w:rPr>
                      </w:pPr>
                      <w:r w:rsidRPr="00664AF0">
                        <w:rPr>
                          <w:i/>
                          <w:color w:val="2E74B5" w:themeColor="accent1" w:themeShade="BF"/>
                        </w:rPr>
                        <w:t xml:space="preserve">“Framework for Adoption of Cloud Services in the Regulated Life Science Industry” from </w:t>
                      </w:r>
                      <w:r w:rsidR="000757AB">
                        <w:rPr>
                          <w:i/>
                          <w:color w:val="2E74B5" w:themeColor="accent1" w:themeShade="BF"/>
                        </w:rPr>
                        <w:t>PHUSE</w:t>
                      </w:r>
                      <w:r w:rsidRPr="00664AF0">
                        <w:rPr>
                          <w:i/>
                          <w:color w:val="2E74B5" w:themeColor="accent1" w:themeShade="BF"/>
                        </w:rPr>
                        <w:t>.</w:t>
                      </w:r>
                    </w:p>
                  </w:txbxContent>
                </v:textbox>
                <w10:wrap type="square"/>
              </v:shape>
            </w:pict>
          </mc:Fallback>
        </mc:AlternateContent>
      </w:r>
    </w:p>
    <w:p w14:paraId="2A20A533" w14:textId="7DFF0AB7" w:rsidR="00F9494F" w:rsidRPr="002D197E" w:rsidRDefault="00F9494F" w:rsidP="00430F2E">
      <w:pPr>
        <w:jc w:val="both"/>
        <w:rPr>
          <w:lang w:val="en-GB"/>
        </w:rPr>
      </w:pPr>
    </w:p>
    <w:p w14:paraId="416E5CC9" w14:textId="77777777" w:rsidR="00F9494F" w:rsidRPr="002D197E" w:rsidRDefault="00F9494F" w:rsidP="00430F2E">
      <w:pPr>
        <w:jc w:val="both"/>
        <w:rPr>
          <w:lang w:val="en-GB"/>
        </w:rPr>
      </w:pPr>
    </w:p>
    <w:p w14:paraId="4D8747DA" w14:textId="1EB53456" w:rsidR="00664AF0" w:rsidRPr="002D197E" w:rsidRDefault="00664AF0" w:rsidP="00430F2E">
      <w:pPr>
        <w:jc w:val="both"/>
        <w:rPr>
          <w:lang w:val="en-GB"/>
        </w:rPr>
      </w:pPr>
    </w:p>
    <w:p w14:paraId="6A3F1472" w14:textId="2D763FD2" w:rsidR="00664AF0" w:rsidRPr="002D197E" w:rsidRDefault="00664AF0" w:rsidP="00430F2E">
      <w:pPr>
        <w:jc w:val="both"/>
        <w:rPr>
          <w:lang w:val="en-GB"/>
        </w:rPr>
      </w:pPr>
    </w:p>
    <w:p w14:paraId="11004D08" w14:textId="17F42708" w:rsidR="00664AF0" w:rsidRPr="002D197E" w:rsidRDefault="00664AF0" w:rsidP="00430F2E">
      <w:pPr>
        <w:jc w:val="both"/>
        <w:rPr>
          <w:lang w:val="en-GB"/>
        </w:rPr>
      </w:pPr>
    </w:p>
    <w:p w14:paraId="51098F52" w14:textId="0D3D9FD1" w:rsidR="00F9494F" w:rsidRPr="002D197E" w:rsidRDefault="000A5293" w:rsidP="00F9494F">
      <w:pPr>
        <w:pStyle w:val="Heading1"/>
        <w:ind w:left="993" w:hanging="993"/>
        <w:rPr>
          <w:lang w:val="en-GB"/>
        </w:rPr>
      </w:pPr>
      <w:bookmarkStart w:id="5" w:name="_Toc527708601"/>
      <w:bookmarkStart w:id="6" w:name="_Toc206345371"/>
      <w:r w:rsidRPr="6F3AAE03">
        <w:rPr>
          <w:lang w:val="en-GB"/>
        </w:rPr>
        <w:t xml:space="preserve">Exit Strategy in relation to working with </w:t>
      </w:r>
      <w:r w:rsidR="00F9494F" w:rsidRPr="6F3AAE03">
        <w:rPr>
          <w:lang w:val="en-GB"/>
        </w:rPr>
        <w:t>Cloud Service Provider</w:t>
      </w:r>
      <w:bookmarkEnd w:id="5"/>
      <w:r w:rsidRPr="6F3AAE03">
        <w:rPr>
          <w:lang w:val="en-GB"/>
        </w:rPr>
        <w:t>s</w:t>
      </w:r>
      <w:bookmarkEnd w:id="6"/>
    </w:p>
    <w:p w14:paraId="36D70DC3" w14:textId="77777777" w:rsidR="00D34426" w:rsidRDefault="00F9494F" w:rsidP="00F9494F">
      <w:pPr>
        <w:jc w:val="both"/>
        <w:rPr>
          <w:lang w:val="en-GB"/>
        </w:rPr>
      </w:pPr>
      <w:r w:rsidRPr="002D197E">
        <w:rPr>
          <w:lang w:val="en-GB"/>
        </w:rPr>
        <w:t xml:space="preserve">Looking at good engineering practices, the Cloud Service Customer as a part of purchasing process must ensure that </w:t>
      </w:r>
      <w:r w:rsidR="00D34426">
        <w:rPr>
          <w:lang w:val="en-GB"/>
        </w:rPr>
        <w:t xml:space="preserve">an Exit Strategy is in place to make sure that they have the </w:t>
      </w:r>
      <w:r w:rsidRPr="002D197E">
        <w:rPr>
          <w:lang w:val="en-GB"/>
        </w:rPr>
        <w:t xml:space="preserve">ability to </w:t>
      </w:r>
      <w:r w:rsidR="00D34426">
        <w:rPr>
          <w:lang w:val="en-GB"/>
        </w:rPr>
        <w:t>exit the Cloud Service Provider if needed.</w:t>
      </w:r>
    </w:p>
    <w:p w14:paraId="1AC7BE47" w14:textId="77777777" w:rsidR="00D34426" w:rsidRPr="00D34426" w:rsidRDefault="00D34426" w:rsidP="00D34426">
      <w:pPr>
        <w:jc w:val="both"/>
      </w:pPr>
      <w:r>
        <w:t>Having an exit strategy when engaging with a cloud service provider is crucial for a company for several reasons:</w:t>
      </w:r>
    </w:p>
    <w:p w14:paraId="7BDB6116" w14:textId="77777777" w:rsidR="00D34426" w:rsidRPr="00DB593B" w:rsidRDefault="00D34426" w:rsidP="00D34426">
      <w:pPr>
        <w:numPr>
          <w:ilvl w:val="0"/>
          <w:numId w:val="44"/>
        </w:numPr>
        <w:tabs>
          <w:tab w:val="clear" w:pos="360"/>
          <w:tab w:val="num" w:pos="720"/>
        </w:tabs>
        <w:jc w:val="both"/>
      </w:pPr>
      <w:r w:rsidRPr="00DB593B">
        <w:t>Data Security and Integrity:</w:t>
      </w:r>
    </w:p>
    <w:p w14:paraId="2A288B25" w14:textId="77777777" w:rsidR="00D34426" w:rsidRPr="00D34426" w:rsidRDefault="00D34426" w:rsidP="00DA3880">
      <w:pPr>
        <w:numPr>
          <w:ilvl w:val="1"/>
          <w:numId w:val="44"/>
        </w:numPr>
        <w:tabs>
          <w:tab w:val="num" w:pos="1440"/>
        </w:tabs>
        <w:jc w:val="both"/>
      </w:pPr>
      <w:r w:rsidRPr="00D34426">
        <w:rPr>
          <w:b/>
          <w:bCs/>
        </w:rPr>
        <w:t>Data Retrieval</w:t>
      </w:r>
      <w:r w:rsidRPr="00D34426">
        <w:t>: Ensuring you have a clear plan for retrieving all your data from the cloud provider, in a usable format, helps prevent data loss and maintains data integrity.</w:t>
      </w:r>
    </w:p>
    <w:p w14:paraId="706ED18C" w14:textId="77777777" w:rsidR="00D34426" w:rsidRPr="00D34426" w:rsidRDefault="00D34426" w:rsidP="00DA3880">
      <w:pPr>
        <w:numPr>
          <w:ilvl w:val="1"/>
          <w:numId w:val="44"/>
        </w:numPr>
        <w:tabs>
          <w:tab w:val="num" w:pos="1440"/>
        </w:tabs>
        <w:jc w:val="both"/>
      </w:pPr>
      <w:r w:rsidRPr="00D34426">
        <w:rPr>
          <w:b/>
          <w:bCs/>
        </w:rPr>
        <w:t>Data Deletion</w:t>
      </w:r>
      <w:r w:rsidRPr="00D34426">
        <w:t>: You need to ensure that your data is securely and completely deleted from the provider's servers to prevent unauthorized access post-exit.</w:t>
      </w:r>
    </w:p>
    <w:p w14:paraId="6669D028" w14:textId="77777777" w:rsidR="00D34426" w:rsidRPr="00DB593B" w:rsidRDefault="00D34426" w:rsidP="00D34426">
      <w:pPr>
        <w:numPr>
          <w:ilvl w:val="0"/>
          <w:numId w:val="44"/>
        </w:numPr>
        <w:tabs>
          <w:tab w:val="clear" w:pos="360"/>
          <w:tab w:val="num" w:pos="720"/>
        </w:tabs>
        <w:jc w:val="both"/>
      </w:pPr>
      <w:r w:rsidRPr="00DB593B">
        <w:t>Business Continuity:</w:t>
      </w:r>
    </w:p>
    <w:p w14:paraId="046388BE" w14:textId="77777777" w:rsidR="00D34426" w:rsidRPr="00D34426" w:rsidRDefault="00D34426" w:rsidP="00D34426">
      <w:pPr>
        <w:numPr>
          <w:ilvl w:val="1"/>
          <w:numId w:val="44"/>
        </w:numPr>
        <w:tabs>
          <w:tab w:val="num" w:pos="1440"/>
        </w:tabs>
        <w:jc w:val="both"/>
      </w:pPr>
      <w:r w:rsidRPr="00D34426">
        <w:rPr>
          <w:b/>
          <w:bCs/>
        </w:rPr>
        <w:t>Minimize Downtime</w:t>
      </w:r>
      <w:r w:rsidRPr="00D34426">
        <w:t>: A well-planned exit strategy helps minimize service disruption and downtime, ensuring business operations continue smoothly.</w:t>
      </w:r>
    </w:p>
    <w:p w14:paraId="79819E50" w14:textId="77777777" w:rsidR="00D34426" w:rsidRPr="00D34426" w:rsidRDefault="00D34426" w:rsidP="00D34426">
      <w:pPr>
        <w:numPr>
          <w:ilvl w:val="1"/>
          <w:numId w:val="44"/>
        </w:numPr>
        <w:tabs>
          <w:tab w:val="num" w:pos="1440"/>
        </w:tabs>
        <w:jc w:val="both"/>
      </w:pPr>
      <w:r w:rsidRPr="00D34426">
        <w:rPr>
          <w:b/>
          <w:bCs/>
        </w:rPr>
        <w:t>Backup Solutions</w:t>
      </w:r>
      <w:r w:rsidRPr="00D34426">
        <w:t>: Having backup solutions and alternate providers identified in advance ensures that your business can continue to function if the current provider experiences outages or other issues.</w:t>
      </w:r>
    </w:p>
    <w:p w14:paraId="18758A4D" w14:textId="77777777" w:rsidR="00D34426" w:rsidRPr="00DB593B" w:rsidRDefault="00D34426" w:rsidP="00D34426">
      <w:pPr>
        <w:numPr>
          <w:ilvl w:val="0"/>
          <w:numId w:val="44"/>
        </w:numPr>
        <w:tabs>
          <w:tab w:val="clear" w:pos="360"/>
          <w:tab w:val="num" w:pos="720"/>
        </w:tabs>
        <w:jc w:val="both"/>
      </w:pPr>
      <w:r w:rsidRPr="00DB593B">
        <w:t>Compliance and Legal Requirements:</w:t>
      </w:r>
    </w:p>
    <w:p w14:paraId="70476657" w14:textId="77777777" w:rsidR="00D34426" w:rsidRPr="00D34426" w:rsidRDefault="00D34426" w:rsidP="00D34426">
      <w:pPr>
        <w:numPr>
          <w:ilvl w:val="1"/>
          <w:numId w:val="44"/>
        </w:numPr>
        <w:tabs>
          <w:tab w:val="num" w:pos="1440"/>
        </w:tabs>
        <w:jc w:val="both"/>
      </w:pPr>
      <w:r w:rsidRPr="00D34426">
        <w:rPr>
          <w:b/>
          <w:bCs/>
        </w:rPr>
        <w:t>Regulatory Compliance</w:t>
      </w:r>
      <w:r w:rsidRPr="00D34426">
        <w:t>: Depending on your industry, there may be legal and regulatory requirements regarding data storage, handling, and retrieval that need to be adhered to during the transition.</w:t>
      </w:r>
    </w:p>
    <w:p w14:paraId="7E2E048C" w14:textId="77777777" w:rsidR="00D34426" w:rsidRDefault="00D34426" w:rsidP="00D34426">
      <w:pPr>
        <w:numPr>
          <w:ilvl w:val="1"/>
          <w:numId w:val="44"/>
        </w:numPr>
        <w:tabs>
          <w:tab w:val="num" w:pos="1440"/>
        </w:tabs>
        <w:jc w:val="both"/>
      </w:pPr>
      <w:r w:rsidRPr="00D34426">
        <w:rPr>
          <w:b/>
          <w:bCs/>
        </w:rPr>
        <w:t>Contractual Obligations</w:t>
      </w:r>
      <w:r w:rsidRPr="00D34426">
        <w:t>: Understanding and complying with the terms and conditions of your contract with the cloud provider is essential to avoid legal complications.</w:t>
      </w:r>
    </w:p>
    <w:p w14:paraId="7F8680D8" w14:textId="77777777" w:rsidR="006F19D0" w:rsidRDefault="006F19D0" w:rsidP="006F19D0">
      <w:pPr>
        <w:tabs>
          <w:tab w:val="num" w:pos="1440"/>
        </w:tabs>
        <w:jc w:val="both"/>
      </w:pPr>
    </w:p>
    <w:p w14:paraId="4B764840" w14:textId="77777777" w:rsidR="006F19D0" w:rsidRPr="00D34426" w:rsidRDefault="006F19D0" w:rsidP="006F19D0">
      <w:pPr>
        <w:tabs>
          <w:tab w:val="num" w:pos="1440"/>
        </w:tabs>
        <w:jc w:val="both"/>
      </w:pPr>
    </w:p>
    <w:p w14:paraId="46717342" w14:textId="77777777" w:rsidR="00D34426" w:rsidRPr="00DB593B" w:rsidRDefault="00D34426" w:rsidP="00D34426">
      <w:pPr>
        <w:numPr>
          <w:ilvl w:val="0"/>
          <w:numId w:val="44"/>
        </w:numPr>
        <w:tabs>
          <w:tab w:val="clear" w:pos="360"/>
          <w:tab w:val="num" w:pos="720"/>
        </w:tabs>
        <w:jc w:val="both"/>
      </w:pPr>
      <w:r w:rsidRPr="00DB593B">
        <w:t>Vendor Lock-In Prevention:</w:t>
      </w:r>
    </w:p>
    <w:p w14:paraId="095F8352" w14:textId="77777777" w:rsidR="00D34426" w:rsidRPr="00D34426" w:rsidRDefault="00D34426" w:rsidP="00D34426">
      <w:pPr>
        <w:numPr>
          <w:ilvl w:val="1"/>
          <w:numId w:val="44"/>
        </w:numPr>
        <w:tabs>
          <w:tab w:val="num" w:pos="1440"/>
        </w:tabs>
        <w:jc w:val="both"/>
      </w:pPr>
      <w:r w:rsidRPr="00D34426">
        <w:rPr>
          <w:b/>
          <w:bCs/>
        </w:rPr>
        <w:t>Avoid Dependency</w:t>
      </w:r>
      <w:r w:rsidRPr="00D34426">
        <w:t>: An exit strategy helps prevent over-reliance on a single vendor, giving you flexibility and negotiating power.</w:t>
      </w:r>
    </w:p>
    <w:p w14:paraId="303D9A2F" w14:textId="77777777" w:rsidR="00D34426" w:rsidRPr="00D34426" w:rsidRDefault="00D34426" w:rsidP="00D34426">
      <w:pPr>
        <w:numPr>
          <w:ilvl w:val="1"/>
          <w:numId w:val="44"/>
        </w:numPr>
        <w:tabs>
          <w:tab w:val="num" w:pos="1440"/>
        </w:tabs>
        <w:jc w:val="both"/>
      </w:pPr>
      <w:r w:rsidRPr="00D34426">
        <w:rPr>
          <w:b/>
          <w:bCs/>
        </w:rPr>
        <w:t>Multi-Cloud Strategy</w:t>
      </w:r>
      <w:r w:rsidRPr="00D34426">
        <w:t>: Encourages the adoption of a multi-cloud or hybrid-cloud strategy to diversify risks and avoid being locked into one provider’s ecosystem.</w:t>
      </w:r>
    </w:p>
    <w:p w14:paraId="4650DC28" w14:textId="77777777" w:rsidR="00D34426" w:rsidRPr="00DB593B" w:rsidRDefault="00D34426" w:rsidP="00D34426">
      <w:pPr>
        <w:numPr>
          <w:ilvl w:val="0"/>
          <w:numId w:val="44"/>
        </w:numPr>
        <w:tabs>
          <w:tab w:val="clear" w:pos="360"/>
          <w:tab w:val="num" w:pos="720"/>
        </w:tabs>
        <w:jc w:val="both"/>
      </w:pPr>
      <w:r w:rsidRPr="00DB593B">
        <w:t>Risk Management:</w:t>
      </w:r>
    </w:p>
    <w:p w14:paraId="271AD7A1" w14:textId="77777777" w:rsidR="00D34426" w:rsidRPr="00D34426" w:rsidRDefault="00D34426" w:rsidP="00D34426">
      <w:pPr>
        <w:numPr>
          <w:ilvl w:val="1"/>
          <w:numId w:val="44"/>
        </w:numPr>
        <w:tabs>
          <w:tab w:val="num" w:pos="1440"/>
        </w:tabs>
        <w:jc w:val="both"/>
      </w:pPr>
      <w:r w:rsidRPr="00D34426">
        <w:rPr>
          <w:b/>
          <w:bCs/>
        </w:rPr>
        <w:t>Mitigate Risks</w:t>
      </w:r>
      <w:r w:rsidRPr="00D34426">
        <w:t>: Identifying potential risks associated with vendor dependency and having a plan to mitigate these risks protects your business.</w:t>
      </w:r>
    </w:p>
    <w:p w14:paraId="4BCF00F2" w14:textId="77777777" w:rsidR="00D34426" w:rsidRPr="00D34426" w:rsidRDefault="00D34426" w:rsidP="00D34426">
      <w:pPr>
        <w:numPr>
          <w:ilvl w:val="1"/>
          <w:numId w:val="44"/>
        </w:numPr>
        <w:tabs>
          <w:tab w:val="num" w:pos="1440"/>
        </w:tabs>
        <w:jc w:val="both"/>
      </w:pPr>
      <w:r w:rsidRPr="00D34426">
        <w:rPr>
          <w:b/>
          <w:bCs/>
        </w:rPr>
        <w:t>Disaster Recovery</w:t>
      </w:r>
      <w:r w:rsidRPr="00D34426">
        <w:t>: Incorporating exit strategies into broader disaster recovery and business continuity plans ensures readiness for unforeseen circumstances.</w:t>
      </w:r>
    </w:p>
    <w:p w14:paraId="5F642C5D" w14:textId="77777777" w:rsidR="00D34426" w:rsidRPr="00DB593B" w:rsidRDefault="00D34426" w:rsidP="00D34426">
      <w:pPr>
        <w:numPr>
          <w:ilvl w:val="0"/>
          <w:numId w:val="44"/>
        </w:numPr>
        <w:tabs>
          <w:tab w:val="clear" w:pos="360"/>
          <w:tab w:val="num" w:pos="720"/>
        </w:tabs>
        <w:jc w:val="both"/>
      </w:pPr>
      <w:r w:rsidRPr="00DB593B">
        <w:t>Performance and Satisfaction:</w:t>
      </w:r>
    </w:p>
    <w:p w14:paraId="2106CD92" w14:textId="77777777" w:rsidR="00D34426" w:rsidRPr="00D34426" w:rsidRDefault="00D34426" w:rsidP="00D34426">
      <w:pPr>
        <w:numPr>
          <w:ilvl w:val="1"/>
          <w:numId w:val="44"/>
        </w:numPr>
        <w:tabs>
          <w:tab w:val="num" w:pos="1440"/>
        </w:tabs>
        <w:jc w:val="both"/>
      </w:pPr>
      <w:r w:rsidRPr="00D34426">
        <w:rPr>
          <w:b/>
          <w:bCs/>
        </w:rPr>
        <w:t>Regular Evaluation</w:t>
      </w:r>
      <w:r w:rsidRPr="00D34426">
        <w:t>: An exit strategy encourages regular performance reviews of the cloud provider against your business needs and expectations.</w:t>
      </w:r>
    </w:p>
    <w:p w14:paraId="1D090F17" w14:textId="77777777" w:rsidR="00D34426" w:rsidRPr="00D34426" w:rsidRDefault="00D34426" w:rsidP="00D34426">
      <w:pPr>
        <w:numPr>
          <w:ilvl w:val="1"/>
          <w:numId w:val="44"/>
        </w:numPr>
        <w:tabs>
          <w:tab w:val="num" w:pos="1440"/>
        </w:tabs>
        <w:jc w:val="both"/>
      </w:pPr>
      <w:r w:rsidRPr="00D34426">
        <w:rPr>
          <w:b/>
          <w:bCs/>
        </w:rPr>
        <w:t>Alternative Solutions</w:t>
      </w:r>
      <w:r w:rsidRPr="00D34426">
        <w:t>: Keeps you informed about other providers and solutions that may offer better performance, features, or costs, ensuring you are not settling for subpar service.</w:t>
      </w:r>
    </w:p>
    <w:p w14:paraId="7F94AFE8" w14:textId="77777777" w:rsidR="00D34426" w:rsidRPr="00DB593B" w:rsidRDefault="00D34426" w:rsidP="00D34426">
      <w:pPr>
        <w:numPr>
          <w:ilvl w:val="0"/>
          <w:numId w:val="44"/>
        </w:numPr>
        <w:tabs>
          <w:tab w:val="clear" w:pos="360"/>
          <w:tab w:val="num" w:pos="720"/>
        </w:tabs>
        <w:jc w:val="both"/>
      </w:pPr>
      <w:r w:rsidRPr="00DB593B">
        <w:t>Scalability and Flexibility:</w:t>
      </w:r>
    </w:p>
    <w:p w14:paraId="062D4D39" w14:textId="77777777" w:rsidR="00D34426" w:rsidRPr="00D34426" w:rsidRDefault="00D34426" w:rsidP="00D34426">
      <w:pPr>
        <w:numPr>
          <w:ilvl w:val="1"/>
          <w:numId w:val="44"/>
        </w:numPr>
        <w:tabs>
          <w:tab w:val="num" w:pos="1440"/>
        </w:tabs>
        <w:jc w:val="both"/>
      </w:pPr>
      <w:r w:rsidRPr="00D34426">
        <w:rPr>
          <w:b/>
          <w:bCs/>
        </w:rPr>
        <w:t>Future Growth</w:t>
      </w:r>
      <w:r w:rsidRPr="00D34426">
        <w:t>: Ensures that your cloud strategy is scalable and can adapt to future growth or changes in business direction.</w:t>
      </w:r>
    </w:p>
    <w:p w14:paraId="12F83397" w14:textId="77777777" w:rsidR="00D34426" w:rsidRPr="00D34426" w:rsidRDefault="00D34426" w:rsidP="00D34426">
      <w:pPr>
        <w:numPr>
          <w:ilvl w:val="1"/>
          <w:numId w:val="44"/>
        </w:numPr>
        <w:tabs>
          <w:tab w:val="num" w:pos="1440"/>
        </w:tabs>
        <w:jc w:val="both"/>
      </w:pPr>
      <w:r w:rsidRPr="00D34426">
        <w:rPr>
          <w:b/>
          <w:bCs/>
        </w:rPr>
        <w:t>Flexibility in Operations</w:t>
      </w:r>
      <w:r w:rsidRPr="00D34426">
        <w:t>: Allows for agile shifts in technology or operational strategies without being constrained by the limitations of a single cloud provider.</w:t>
      </w:r>
    </w:p>
    <w:p w14:paraId="56DFDDF4" w14:textId="77777777" w:rsidR="00D34426" w:rsidRPr="00D34426" w:rsidRDefault="00D34426" w:rsidP="00D34426">
      <w:pPr>
        <w:jc w:val="both"/>
      </w:pPr>
      <w:r>
        <w:t>Having a well-defined exit strategy ensures that your business remains resilient, compliant, and competitive, regardless of changes in the cloud service landscape. It provides a safety net that helps manage risks and optimizes your cloud usage effectively.</w:t>
      </w:r>
    </w:p>
    <w:p w14:paraId="64B168C2" w14:textId="2BBB2610" w:rsidR="07C21266" w:rsidRDefault="07C21266" w:rsidP="540E3A55">
      <w:pPr>
        <w:jc w:val="both"/>
      </w:pPr>
      <w:r>
        <w:t>Both planned and “unplanned” exits will benefit from above</w:t>
      </w:r>
      <w:r w:rsidR="5D20834E">
        <w:t xml:space="preserve">. </w:t>
      </w:r>
    </w:p>
    <w:p w14:paraId="6369CD62" w14:textId="6D1DF3BA" w:rsidR="5D20834E" w:rsidRDefault="5D20834E" w:rsidP="540E3A55">
      <w:pPr>
        <w:jc w:val="both"/>
      </w:pPr>
      <w:r>
        <w:t xml:space="preserve">Planned Exit or “Migration” - </w:t>
      </w:r>
      <w:r w:rsidR="272F3093">
        <w:t xml:space="preserve">This is more typical. As part of </w:t>
      </w:r>
      <w:r w:rsidR="05E56AE3">
        <w:t xml:space="preserve">normal business/IT operations, executing against a strategy, </w:t>
      </w:r>
      <w:r w:rsidR="12B8D4A9">
        <w:t xml:space="preserve">Technology Lifecycle Management (TLM), </w:t>
      </w:r>
      <w:r w:rsidR="05E56AE3">
        <w:t>upgrades of systems and</w:t>
      </w:r>
      <w:r w:rsidR="64413DBF">
        <w:t>/or applications must happen. This may include adopting more external public cloud IaaS/PaaS from traditional in-hou</w:t>
      </w:r>
      <w:r w:rsidR="61F01A4F">
        <w:t xml:space="preserve">se, </w:t>
      </w:r>
      <w:r w:rsidR="404205F6">
        <w:t>multi-vendor</w:t>
      </w:r>
      <w:r w:rsidR="61F01A4F">
        <w:t xml:space="preserve">/cloud strategy, or </w:t>
      </w:r>
      <w:r w:rsidR="6267473A">
        <w:t>potentially adopting best-in-class SaaS providers</w:t>
      </w:r>
      <w:r w:rsidR="2757FAA5">
        <w:t xml:space="preserve"> are some examples</w:t>
      </w:r>
      <w:r w:rsidR="6267473A">
        <w:t xml:space="preserve">. </w:t>
      </w:r>
      <w:r w:rsidR="2A75BA1F">
        <w:t>In most cases, robust, compliant</w:t>
      </w:r>
      <w:r>
        <w:t xml:space="preserve"> practices associated with </w:t>
      </w:r>
      <w:r w:rsidR="3CCD14AD">
        <w:t>Computer Systems Validation</w:t>
      </w:r>
      <w:r w:rsidR="7B0537E6">
        <w:t xml:space="preserve"> combined with the elements described </w:t>
      </w:r>
      <w:r w:rsidR="5DB1CDEE">
        <w:t xml:space="preserve">previously in this Cloud Services </w:t>
      </w:r>
      <w:r w:rsidR="4D39AB56">
        <w:t xml:space="preserve">Framework will apply. Fundamentals </w:t>
      </w:r>
      <w:r w:rsidR="5843D4EA">
        <w:t>associated with platforms and data migration should be followed.</w:t>
      </w:r>
    </w:p>
    <w:p w14:paraId="0771A197" w14:textId="4A577D8B" w:rsidR="5843D4EA" w:rsidRDefault="6768B556" w:rsidP="540E3A55">
      <w:pPr>
        <w:jc w:val="both"/>
      </w:pPr>
      <w:r>
        <w:lastRenderedPageBreak/>
        <w:t xml:space="preserve">Unplanned exit – This </w:t>
      </w:r>
      <w:r w:rsidR="6A467963">
        <w:t xml:space="preserve">is </w:t>
      </w:r>
      <w:r>
        <w:t xml:space="preserve">where the challenge lies </w:t>
      </w:r>
      <w:r w:rsidR="602D9696">
        <w:t xml:space="preserve">as in most cases, one is </w:t>
      </w:r>
      <w:r>
        <w:t xml:space="preserve">given a much shorter amount of time to respond. </w:t>
      </w:r>
      <w:r w:rsidR="29581107">
        <w:t>What if your software or SaaS vendor is going out of business, or perhaps bein</w:t>
      </w:r>
      <w:r w:rsidR="6CE3DF6E">
        <w:t>g acquired, with a significant change or discontinuance of the product offering?</w:t>
      </w:r>
      <w:r w:rsidR="036477C3">
        <w:t xml:space="preserve"> What if your own company is divesting a portion of the business </w:t>
      </w:r>
      <w:r w:rsidR="7DD47156">
        <w:t>and current shared platforms/services need to be split with operations maintained?</w:t>
      </w:r>
      <w:r w:rsidR="00761057">
        <w:t xml:space="preserve"> </w:t>
      </w:r>
    </w:p>
    <w:p w14:paraId="190AE368" w14:textId="7F2E6460" w:rsidR="00761057" w:rsidRDefault="002B0E40" w:rsidP="540E3A55">
      <w:pPr>
        <w:jc w:val="both"/>
      </w:pPr>
      <w:r>
        <w:t xml:space="preserve">Estimate the costs associated with </w:t>
      </w:r>
      <w:r w:rsidR="007436C6">
        <w:t>existing</w:t>
      </w:r>
      <w:r>
        <w:t xml:space="preserve"> </w:t>
      </w:r>
      <w:r w:rsidR="005F5747">
        <w:t xml:space="preserve">a cloud service provider </w:t>
      </w:r>
      <w:r w:rsidR="00CF7906">
        <w:t>considering data migration, infrastructure set up and potential downtime.</w:t>
      </w:r>
    </w:p>
    <w:p w14:paraId="0CCC8457" w14:textId="5A714999" w:rsidR="00F9494F" w:rsidRPr="002D197E" w:rsidRDefault="00005BF8" w:rsidP="00F9494F">
      <w:pPr>
        <w:pStyle w:val="Heading2"/>
        <w:ind w:left="576" w:hanging="576"/>
        <w:rPr>
          <w:lang w:val="en-GB"/>
        </w:rPr>
      </w:pPr>
      <w:bookmarkStart w:id="7" w:name="_Toc527708602"/>
      <w:bookmarkStart w:id="8" w:name="_Toc206345372"/>
      <w:r w:rsidRPr="6F3AAE03">
        <w:rPr>
          <w:lang w:val="en-GB"/>
        </w:rPr>
        <w:t>Authorities</w:t>
      </w:r>
      <w:r w:rsidR="00F9494F" w:rsidRPr="6F3AAE03">
        <w:rPr>
          <w:lang w:val="en-GB"/>
        </w:rPr>
        <w:t xml:space="preserve"> </w:t>
      </w:r>
      <w:r w:rsidRPr="6F3AAE03">
        <w:rPr>
          <w:lang w:val="en-GB"/>
        </w:rPr>
        <w:t xml:space="preserve">and Standardization Organisations </w:t>
      </w:r>
      <w:r w:rsidR="00F9494F" w:rsidRPr="6F3AAE03">
        <w:rPr>
          <w:lang w:val="en-GB"/>
        </w:rPr>
        <w:t>Requirements</w:t>
      </w:r>
      <w:bookmarkEnd w:id="7"/>
      <w:r w:rsidR="00F9494F" w:rsidRPr="6F3AAE03">
        <w:rPr>
          <w:lang w:val="en-GB"/>
        </w:rPr>
        <w:t xml:space="preserve"> for </w:t>
      </w:r>
      <w:r w:rsidR="00D34426" w:rsidRPr="6F3AAE03">
        <w:rPr>
          <w:lang w:val="en-GB"/>
        </w:rPr>
        <w:t>Exit Strategy’s</w:t>
      </w:r>
      <w:bookmarkEnd w:id="8"/>
    </w:p>
    <w:p w14:paraId="1266C830" w14:textId="6899E29B" w:rsidR="00005BF8" w:rsidRDefault="00F9494F" w:rsidP="0099339A">
      <w:pPr>
        <w:jc w:val="both"/>
        <w:rPr>
          <w:lang w:val="en-GB"/>
        </w:rPr>
      </w:pPr>
      <w:r w:rsidRPr="002D197E">
        <w:rPr>
          <w:lang w:val="en-GB"/>
        </w:rPr>
        <w:t>Different authorities</w:t>
      </w:r>
      <w:r w:rsidR="00005BF8">
        <w:rPr>
          <w:lang w:val="en-GB"/>
        </w:rPr>
        <w:t xml:space="preserve"> and standardization Organisation do have input for an exit strategy in relation to working with cloud service providers</w:t>
      </w:r>
    </w:p>
    <w:tbl>
      <w:tblPr>
        <w:tblStyle w:val="TableGrid"/>
        <w:tblW w:w="0" w:type="auto"/>
        <w:tblLook w:val="04A0" w:firstRow="1" w:lastRow="0" w:firstColumn="1" w:lastColumn="0" w:noHBand="0" w:noVBand="1"/>
      </w:tblPr>
      <w:tblGrid>
        <w:gridCol w:w="3018"/>
        <w:gridCol w:w="5992"/>
      </w:tblGrid>
      <w:tr w:rsidR="0099339A" w:rsidRPr="002D197E" w14:paraId="4B0737E7" w14:textId="77777777" w:rsidTr="000034B9">
        <w:tc>
          <w:tcPr>
            <w:tcW w:w="9010" w:type="dxa"/>
            <w:gridSpan w:val="2"/>
            <w:shd w:val="clear" w:color="auto" w:fill="92D050"/>
          </w:tcPr>
          <w:p w14:paraId="7589023F" w14:textId="37B546F1" w:rsidR="000034B9" w:rsidRPr="000034B9" w:rsidRDefault="000034B9" w:rsidP="000034B9">
            <w:pPr>
              <w:jc w:val="both"/>
              <w:rPr>
                <w:color w:val="FFFFFF" w:themeColor="background1"/>
                <w:lang w:val="en-GB"/>
              </w:rPr>
            </w:pPr>
            <w:r w:rsidRPr="000034B9">
              <w:rPr>
                <w:color w:val="FFFFFF" w:themeColor="background1"/>
                <w:lang w:val="en-GB"/>
              </w:rPr>
              <w:t xml:space="preserve">OECD </w:t>
            </w:r>
            <w:r w:rsidR="00DB593B" w:rsidRPr="000034B9">
              <w:rPr>
                <w:color w:val="FFFFFF" w:themeColor="background1"/>
                <w:lang w:val="en-GB"/>
              </w:rPr>
              <w:t xml:space="preserve">Series </w:t>
            </w:r>
            <w:r w:rsidR="00DB593B">
              <w:rPr>
                <w:color w:val="FFFFFF" w:themeColor="background1"/>
                <w:lang w:val="en-GB"/>
              </w:rPr>
              <w:t>o</w:t>
            </w:r>
            <w:r w:rsidR="00DB593B" w:rsidRPr="000034B9">
              <w:rPr>
                <w:color w:val="FFFFFF" w:themeColor="background1"/>
                <w:lang w:val="en-GB"/>
              </w:rPr>
              <w:t xml:space="preserve">n Principles </w:t>
            </w:r>
            <w:r w:rsidR="00DB593B">
              <w:rPr>
                <w:color w:val="FFFFFF" w:themeColor="background1"/>
                <w:lang w:val="en-GB"/>
              </w:rPr>
              <w:t>o</w:t>
            </w:r>
            <w:r w:rsidR="00DB593B" w:rsidRPr="000034B9">
              <w:rPr>
                <w:color w:val="FFFFFF" w:themeColor="background1"/>
                <w:lang w:val="en-GB"/>
              </w:rPr>
              <w:t xml:space="preserve">f Good Laboratory Practice </w:t>
            </w:r>
            <w:r w:rsidR="00DB593B">
              <w:rPr>
                <w:color w:val="FFFFFF" w:themeColor="background1"/>
                <w:lang w:val="en-GB"/>
              </w:rPr>
              <w:t>a</w:t>
            </w:r>
            <w:r w:rsidR="00DB593B" w:rsidRPr="000034B9">
              <w:rPr>
                <w:color w:val="FFFFFF" w:themeColor="background1"/>
                <w:lang w:val="en-GB"/>
              </w:rPr>
              <w:t>nd Compliance</w:t>
            </w:r>
          </w:p>
          <w:p w14:paraId="2D08F0B6" w14:textId="7E641FF7" w:rsidR="0099339A" w:rsidRPr="002D197E" w:rsidRDefault="00DB593B" w:rsidP="000034B9">
            <w:pPr>
              <w:jc w:val="both"/>
              <w:rPr>
                <w:lang w:val="en-GB"/>
              </w:rPr>
            </w:pPr>
            <w:r w:rsidRPr="000034B9">
              <w:rPr>
                <w:color w:val="FFFFFF" w:themeColor="background1"/>
                <w:lang w:val="en-GB"/>
              </w:rPr>
              <w:t>Monitoring</w:t>
            </w:r>
            <w:r w:rsidR="000034B9">
              <w:rPr>
                <w:color w:val="FFFFFF" w:themeColor="background1"/>
                <w:lang w:val="en-GB"/>
              </w:rPr>
              <w:t xml:space="preserve">, </w:t>
            </w:r>
            <w:r w:rsidR="000034B9" w:rsidRPr="000034B9">
              <w:rPr>
                <w:color w:val="FFFFFF" w:themeColor="background1"/>
                <w:lang w:val="en-GB"/>
              </w:rPr>
              <w:t xml:space="preserve">Advisory Document on GLP &amp; Cloud Computing </w:t>
            </w:r>
            <w:r w:rsidR="000034B9">
              <w:rPr>
                <w:color w:val="FFFFFF" w:themeColor="background1"/>
                <w:lang w:val="en-GB"/>
              </w:rPr>
              <w:t xml:space="preserve"> </w:t>
            </w:r>
            <w:r w:rsidR="0099339A" w:rsidRPr="000034B9">
              <w:rPr>
                <w:color w:val="FFFFFF" w:themeColor="background1"/>
                <w:lang w:val="en-GB"/>
              </w:rPr>
              <w:t xml:space="preserve">ref </w:t>
            </w:r>
            <w:r w:rsidR="0099339A" w:rsidRPr="000034B9">
              <w:rPr>
                <w:color w:val="FFFFFF" w:themeColor="background1"/>
                <w:lang w:val="en-GB"/>
              </w:rPr>
              <w:fldChar w:fldCharType="begin"/>
            </w:r>
            <w:r w:rsidR="0099339A" w:rsidRPr="000034B9">
              <w:rPr>
                <w:color w:val="FFFFFF" w:themeColor="background1"/>
                <w:lang w:val="en-GB"/>
              </w:rPr>
              <w:instrText xml:space="preserve"> REF _Ref526705543 \r \h  \* MERGEFORMAT </w:instrText>
            </w:r>
            <w:r w:rsidR="0099339A" w:rsidRPr="000034B9">
              <w:rPr>
                <w:color w:val="FFFFFF" w:themeColor="background1"/>
                <w:lang w:val="en-GB"/>
              </w:rPr>
            </w:r>
            <w:r w:rsidR="0099339A" w:rsidRPr="000034B9">
              <w:rPr>
                <w:color w:val="FFFFFF" w:themeColor="background1"/>
                <w:lang w:val="en-GB"/>
              </w:rPr>
              <w:fldChar w:fldCharType="separate"/>
            </w:r>
            <w:r w:rsidR="0099339A" w:rsidRPr="000034B9">
              <w:rPr>
                <w:bCs/>
                <w:color w:val="FFFFFF" w:themeColor="background1"/>
                <w:lang w:val="en-GB"/>
              </w:rPr>
              <w:t>[3]</w:t>
            </w:r>
            <w:r w:rsidR="0099339A" w:rsidRPr="000034B9">
              <w:rPr>
                <w:color w:val="FFFFFF" w:themeColor="background1"/>
                <w:lang w:val="en-GB"/>
              </w:rPr>
              <w:fldChar w:fldCharType="end"/>
            </w:r>
          </w:p>
        </w:tc>
      </w:tr>
      <w:tr w:rsidR="0099339A" w:rsidRPr="002D197E" w14:paraId="73EA1B44" w14:textId="77777777" w:rsidTr="00FE6210">
        <w:tc>
          <w:tcPr>
            <w:tcW w:w="3018" w:type="dxa"/>
          </w:tcPr>
          <w:p w14:paraId="6EF88530" w14:textId="139615B3" w:rsidR="0099339A" w:rsidRPr="002D197E" w:rsidRDefault="00DB593B" w:rsidP="00FE6210">
            <w:pPr>
              <w:jc w:val="both"/>
              <w:rPr>
                <w:lang w:val="en-GB"/>
              </w:rPr>
            </w:pPr>
            <w:r w:rsidRPr="00DB593B">
              <w:rPr>
                <w:lang w:val="en-GB"/>
              </w:rPr>
              <w:t>5.1. Responsibilities of the test facility</w:t>
            </w:r>
          </w:p>
        </w:tc>
        <w:tc>
          <w:tcPr>
            <w:tcW w:w="5992" w:type="dxa"/>
          </w:tcPr>
          <w:p w14:paraId="73DF5FAB" w14:textId="77777777" w:rsidR="0099339A" w:rsidRDefault="00DB593B" w:rsidP="00DB593B">
            <w:pPr>
              <w:jc w:val="both"/>
              <w:rPr>
                <w:lang w:val="en-GB"/>
              </w:rPr>
            </w:pPr>
            <w:r w:rsidRPr="00DB593B">
              <w:rPr>
                <w:lang w:val="en-GB"/>
              </w:rPr>
              <w:t>The archivist is responsible for the management of archives. If GLP archives are stored in a cloud-based solution, the archivist may need to use the assistance of specialists to look at technical aspects. Nevertheless, the archivist remains responsible and should still ensure that:</w:t>
            </w:r>
          </w:p>
          <w:p w14:paraId="56CBD7BE" w14:textId="588F3D9F" w:rsidR="00DB593B" w:rsidRDefault="00DB593B" w:rsidP="00DB593B">
            <w:pPr>
              <w:jc w:val="both"/>
              <w:rPr>
                <w:lang w:val="en-GB"/>
              </w:rPr>
            </w:pPr>
            <w:r>
              <w:rPr>
                <w:lang w:val="en-GB"/>
              </w:rPr>
              <w:t>…</w:t>
            </w:r>
          </w:p>
          <w:p w14:paraId="01E96840" w14:textId="49BBB4E9" w:rsidR="00DB593B" w:rsidRDefault="00DB593B" w:rsidP="00DB593B">
            <w:pPr>
              <w:jc w:val="both"/>
              <w:rPr>
                <w:lang w:val="en-GB"/>
              </w:rPr>
            </w:pPr>
            <w:r>
              <w:rPr>
                <w:lang w:val="en-GB"/>
              </w:rPr>
              <w:t xml:space="preserve">6. A </w:t>
            </w:r>
            <w:r>
              <w:t>process is implemented to ensure the readability of data after being migrated from the cloud environment to the test facility (exit strategy).</w:t>
            </w:r>
          </w:p>
          <w:p w14:paraId="4407A24C" w14:textId="09BC6881" w:rsidR="00DB593B" w:rsidRPr="00DB593B" w:rsidRDefault="00DB593B" w:rsidP="00DB593B">
            <w:pPr>
              <w:jc w:val="both"/>
              <w:rPr>
                <w:lang w:val="en-GB"/>
              </w:rPr>
            </w:pPr>
          </w:p>
        </w:tc>
      </w:tr>
      <w:tr w:rsidR="00DB593B" w:rsidRPr="002D197E" w14:paraId="35468F8B" w14:textId="77777777" w:rsidTr="00FE6210">
        <w:tc>
          <w:tcPr>
            <w:tcW w:w="3018" w:type="dxa"/>
          </w:tcPr>
          <w:p w14:paraId="228B7ED4" w14:textId="3783E673" w:rsidR="00DB593B" w:rsidRPr="00DB593B" w:rsidRDefault="00DB593B" w:rsidP="00FE6210">
            <w:pPr>
              <w:jc w:val="both"/>
              <w:rPr>
                <w:lang w:val="en-GB"/>
              </w:rPr>
            </w:pPr>
            <w:r w:rsidRPr="00DB593B">
              <w:rPr>
                <w:lang w:val="en-GB"/>
              </w:rPr>
              <w:t>5.3.1. Risk assessment and selection of the cloud-based services</w:t>
            </w:r>
          </w:p>
        </w:tc>
        <w:tc>
          <w:tcPr>
            <w:tcW w:w="5992" w:type="dxa"/>
          </w:tcPr>
          <w:p w14:paraId="7DD2BAD4" w14:textId="77777777" w:rsidR="00DB593B" w:rsidRDefault="00DB593B" w:rsidP="00DB593B">
            <w:pPr>
              <w:jc w:val="both"/>
              <w:rPr>
                <w:lang w:val="en-GB"/>
              </w:rPr>
            </w:pPr>
            <w:r w:rsidRPr="00DB593B">
              <w:rPr>
                <w:lang w:val="en-GB"/>
              </w:rPr>
              <w:t>Risk management should be applied throughout the lifecycle of any computerised system, taking into account data quality, data integrity and data availability.</w:t>
            </w:r>
          </w:p>
          <w:p w14:paraId="5EF4782F" w14:textId="3D500881" w:rsidR="00DB593B" w:rsidRDefault="00DB593B" w:rsidP="00DB593B">
            <w:pPr>
              <w:jc w:val="both"/>
              <w:rPr>
                <w:lang w:val="en-GB"/>
              </w:rPr>
            </w:pPr>
            <w:r>
              <w:rPr>
                <w:lang w:val="en-GB"/>
              </w:rPr>
              <w:t>…</w:t>
            </w:r>
          </w:p>
          <w:p w14:paraId="2CA2EE4F" w14:textId="6C82DB3D" w:rsidR="00DB593B" w:rsidRDefault="00DB593B" w:rsidP="00DB593B">
            <w:pPr>
              <w:jc w:val="both"/>
              <w:rPr>
                <w:lang w:val="en-GB"/>
              </w:rPr>
            </w:pPr>
            <w:r w:rsidRPr="00DB593B">
              <w:rPr>
                <w:lang w:val="en-GB"/>
              </w:rPr>
              <w:t>A detailed description of the expectations to the use of the cloud solution and the associated</w:t>
            </w:r>
            <w:r>
              <w:rPr>
                <w:lang w:val="en-GB"/>
              </w:rPr>
              <w:t xml:space="preserve"> </w:t>
            </w:r>
            <w:r w:rsidRPr="00DB593B">
              <w:rPr>
                <w:lang w:val="en-GB"/>
              </w:rPr>
              <w:t>impacts should be available before any choice is made. The steps of the risk assessment include (but are not limited to):</w:t>
            </w:r>
          </w:p>
          <w:p w14:paraId="3DCED878" w14:textId="48C4F813" w:rsidR="00DB593B" w:rsidRDefault="00DB593B" w:rsidP="00DB593B">
            <w:pPr>
              <w:jc w:val="both"/>
              <w:rPr>
                <w:lang w:val="en-GB"/>
              </w:rPr>
            </w:pPr>
            <w:r>
              <w:rPr>
                <w:lang w:val="en-GB"/>
              </w:rPr>
              <w:t>…</w:t>
            </w:r>
          </w:p>
          <w:p w14:paraId="476DB9CF" w14:textId="3197FDB5" w:rsidR="00DB593B" w:rsidRDefault="00DB593B" w:rsidP="00DB593B">
            <w:pPr>
              <w:ind w:left="720"/>
              <w:jc w:val="both"/>
              <w:rPr>
                <w:lang w:val="en-GB"/>
              </w:rPr>
            </w:pPr>
            <w:r>
              <w:rPr>
                <w:lang w:val="en-GB"/>
              </w:rPr>
              <w:t xml:space="preserve">3. </w:t>
            </w:r>
            <w:r w:rsidRPr="00DB593B">
              <w:rPr>
                <w:lang w:val="en-GB"/>
              </w:rPr>
              <w:t>Impact on GLP compliance, especially regarding data migration and storage, resulting from adopting the system provided by the cloud service (non-exhaustive list):</w:t>
            </w:r>
          </w:p>
          <w:p w14:paraId="2EECD987" w14:textId="2ABEFA7D" w:rsidR="00DB593B" w:rsidRDefault="00DB593B" w:rsidP="00DB593B">
            <w:pPr>
              <w:ind w:left="720"/>
              <w:jc w:val="both"/>
              <w:rPr>
                <w:lang w:val="en-GB"/>
              </w:rPr>
            </w:pPr>
            <w:r>
              <w:rPr>
                <w:lang w:val="en-GB"/>
              </w:rPr>
              <w:t>...</w:t>
            </w:r>
          </w:p>
          <w:p w14:paraId="031CC5F3" w14:textId="5B8E4F04" w:rsidR="00DB593B" w:rsidRDefault="00DB593B" w:rsidP="00DB593B">
            <w:pPr>
              <w:ind w:left="720"/>
              <w:jc w:val="both"/>
              <w:rPr>
                <w:lang w:val="en-GB"/>
              </w:rPr>
            </w:pPr>
            <w:r w:rsidRPr="00DB593B">
              <w:t xml:space="preserve">c. Associated new risk on data integrity and data availability: level of control of remote access to the data, level of protection of the data, secure location for the physical storage of the data (physical infrastructure access, disaster recovery strategy, recovery time objectives and recovery point objectives, location of the data hosting servers, long term integrity of electronically archived data). For SaaS, as the test facility has generally no access to the software itself in case of release event, </w:t>
            </w:r>
            <w:r w:rsidRPr="00DB593B">
              <w:lastRenderedPageBreak/>
              <w:t>impacts on data integrity and data availability should be carefully considered by end user when anticipating the business continuity plan, the disaster recovery plan and the exit strategy of the GLP test facility.</w:t>
            </w:r>
          </w:p>
          <w:p w14:paraId="5C8D56C4" w14:textId="4A587009" w:rsidR="00DB593B" w:rsidRPr="00DB593B" w:rsidRDefault="00DB593B" w:rsidP="00DB593B">
            <w:pPr>
              <w:jc w:val="both"/>
              <w:rPr>
                <w:lang w:val="en-GB"/>
              </w:rPr>
            </w:pPr>
          </w:p>
        </w:tc>
      </w:tr>
      <w:tr w:rsidR="0099339A" w:rsidRPr="002D197E" w14:paraId="5C116322" w14:textId="77777777" w:rsidTr="00FE6210">
        <w:tc>
          <w:tcPr>
            <w:tcW w:w="3018" w:type="dxa"/>
          </w:tcPr>
          <w:p w14:paraId="772501DA" w14:textId="5BC164D6" w:rsidR="0099339A" w:rsidRPr="002D197E" w:rsidRDefault="00DB593B" w:rsidP="00FE6210">
            <w:pPr>
              <w:jc w:val="both"/>
              <w:rPr>
                <w:lang w:val="en-GB"/>
              </w:rPr>
            </w:pPr>
            <w:r w:rsidRPr="00DB593B">
              <w:lastRenderedPageBreak/>
              <w:t>5.3.2. Cloud service provider assessment</w:t>
            </w:r>
          </w:p>
        </w:tc>
        <w:tc>
          <w:tcPr>
            <w:tcW w:w="5992" w:type="dxa"/>
          </w:tcPr>
          <w:p w14:paraId="70A7D120" w14:textId="77777777" w:rsidR="0099339A" w:rsidRDefault="00DB593B" w:rsidP="00FE6210">
            <w:pPr>
              <w:jc w:val="both"/>
              <w:rPr>
                <w:lang w:val="en-GB"/>
              </w:rPr>
            </w:pPr>
            <w:r w:rsidRPr="00DB593B">
              <w:rPr>
                <w:lang w:val="en-GB"/>
              </w:rPr>
              <w:t>Following general items may be addressed during the assessment (non-exhaustive list):</w:t>
            </w:r>
          </w:p>
          <w:p w14:paraId="6AF0CAB9" w14:textId="77777777" w:rsidR="00DB593B" w:rsidRDefault="00DB593B" w:rsidP="00FE6210">
            <w:pPr>
              <w:jc w:val="both"/>
              <w:rPr>
                <w:lang w:val="en-GB"/>
              </w:rPr>
            </w:pPr>
            <w:r>
              <w:rPr>
                <w:lang w:val="en-GB"/>
              </w:rPr>
              <w:t>…</w:t>
            </w:r>
          </w:p>
          <w:p w14:paraId="6643B74D" w14:textId="77777777" w:rsidR="00DB593B" w:rsidRDefault="00DB593B" w:rsidP="00FE6210">
            <w:pPr>
              <w:jc w:val="both"/>
            </w:pPr>
            <w:r>
              <w:t>1</w:t>
            </w:r>
            <w:r w:rsidRPr="00DB593B">
              <w:t>2. Exit strategy</w:t>
            </w:r>
          </w:p>
          <w:p w14:paraId="19F8F615" w14:textId="77777777" w:rsidR="00DB593B" w:rsidRDefault="00DB593B" w:rsidP="00FE6210">
            <w:pPr>
              <w:jc w:val="both"/>
            </w:pPr>
            <w:r>
              <w:t>…</w:t>
            </w:r>
          </w:p>
          <w:p w14:paraId="61C4F5AA" w14:textId="523D6FDB" w:rsidR="00DB593B" w:rsidRPr="002D197E" w:rsidRDefault="00DB593B" w:rsidP="00FE6210">
            <w:pPr>
              <w:jc w:val="both"/>
              <w:rPr>
                <w:lang w:val="en-GB"/>
              </w:rPr>
            </w:pPr>
          </w:p>
        </w:tc>
      </w:tr>
      <w:tr w:rsidR="00DB593B" w:rsidRPr="002D197E" w14:paraId="7C6EF5C6" w14:textId="77777777" w:rsidTr="00FE6210">
        <w:tc>
          <w:tcPr>
            <w:tcW w:w="3018" w:type="dxa"/>
          </w:tcPr>
          <w:p w14:paraId="00433950" w14:textId="3A847577" w:rsidR="00DB593B" w:rsidRDefault="0078524D" w:rsidP="00FE6210">
            <w:pPr>
              <w:jc w:val="both"/>
              <w:rPr>
                <w:lang w:val="en-GB"/>
              </w:rPr>
            </w:pPr>
            <w:r w:rsidRPr="0078524D">
              <w:t>5.3.3. Service Level Agreement (SLA)</w:t>
            </w:r>
          </w:p>
        </w:tc>
        <w:tc>
          <w:tcPr>
            <w:tcW w:w="5992" w:type="dxa"/>
          </w:tcPr>
          <w:p w14:paraId="56A05B57" w14:textId="77777777" w:rsidR="0078524D" w:rsidRDefault="0078524D" w:rsidP="00FE6210">
            <w:pPr>
              <w:jc w:val="both"/>
            </w:pPr>
            <w:r w:rsidRPr="0078524D">
              <w:t>Exit strategy</w:t>
            </w:r>
          </w:p>
          <w:p w14:paraId="2DFA7533" w14:textId="20E39A3A" w:rsidR="00DB593B" w:rsidRDefault="0078524D" w:rsidP="00FE6210">
            <w:pPr>
              <w:jc w:val="both"/>
              <w:rPr>
                <w:lang w:val="en-GB"/>
              </w:rPr>
            </w:pPr>
            <w:r w:rsidRPr="0078524D">
              <w:t>The SLA should clearly describe the test facility’s right to obtain all data and meta-data (including audit trails) in a readable and convertible format, in case the contract with the cloud service provider is terminated (see also OECD document No. 22 chapter 6).</w:t>
            </w:r>
          </w:p>
        </w:tc>
      </w:tr>
      <w:tr w:rsidR="00F51BA1" w:rsidRPr="002D197E" w14:paraId="6878C909" w14:textId="77777777" w:rsidTr="00F51BA1">
        <w:tc>
          <w:tcPr>
            <w:tcW w:w="9010" w:type="dxa"/>
            <w:gridSpan w:val="2"/>
            <w:shd w:val="clear" w:color="auto" w:fill="92D050"/>
          </w:tcPr>
          <w:p w14:paraId="365EA8A6" w14:textId="618C6CDC" w:rsidR="00F51BA1" w:rsidRPr="0078524D" w:rsidRDefault="00F51BA1" w:rsidP="00FE6210">
            <w:pPr>
              <w:jc w:val="both"/>
            </w:pPr>
            <w:r w:rsidRPr="00F51BA1">
              <w:rPr>
                <w:color w:val="FFFFFF" w:themeColor="background1"/>
              </w:rPr>
              <w:t xml:space="preserve">Eudralex proposal for update of Annex 11 </w:t>
            </w:r>
            <w:r w:rsidRPr="00F51BA1">
              <w:rPr>
                <w:color w:val="FFFFFF" w:themeColor="background1"/>
              </w:rPr>
              <w:fldChar w:fldCharType="begin"/>
            </w:r>
            <w:r w:rsidRPr="00F51BA1">
              <w:rPr>
                <w:color w:val="FFFFFF" w:themeColor="background1"/>
              </w:rPr>
              <w:instrText xml:space="preserve"> REF _Ref206345142 \r \h </w:instrText>
            </w:r>
            <w:r w:rsidRPr="00F51BA1">
              <w:rPr>
                <w:color w:val="FFFFFF" w:themeColor="background1"/>
              </w:rPr>
            </w:r>
            <w:r w:rsidRPr="00F51BA1">
              <w:rPr>
                <w:color w:val="FFFFFF" w:themeColor="background1"/>
              </w:rPr>
              <w:fldChar w:fldCharType="separate"/>
            </w:r>
            <w:r w:rsidRPr="00F51BA1">
              <w:rPr>
                <w:color w:val="FFFFFF" w:themeColor="background1"/>
              </w:rPr>
              <w:t>[7]</w:t>
            </w:r>
            <w:r w:rsidRPr="00F51BA1">
              <w:rPr>
                <w:color w:val="FFFFFF" w:themeColor="background1"/>
              </w:rPr>
              <w:fldChar w:fldCharType="end"/>
            </w:r>
          </w:p>
        </w:tc>
      </w:tr>
      <w:tr w:rsidR="007436C6" w:rsidRPr="002D197E" w14:paraId="0E04835A" w14:textId="77777777" w:rsidTr="00FE6210">
        <w:tc>
          <w:tcPr>
            <w:tcW w:w="3018" w:type="dxa"/>
          </w:tcPr>
          <w:p w14:paraId="5AC819E1" w14:textId="33898DD6" w:rsidR="007436C6" w:rsidRPr="0078524D" w:rsidRDefault="00F51BA1" w:rsidP="00FE6210">
            <w:pPr>
              <w:jc w:val="both"/>
            </w:pPr>
            <w:r>
              <w:t>7.5 Contracts</w:t>
            </w:r>
          </w:p>
        </w:tc>
        <w:tc>
          <w:tcPr>
            <w:tcW w:w="5992" w:type="dxa"/>
          </w:tcPr>
          <w:p w14:paraId="4995AC6C" w14:textId="563A13D4" w:rsidR="007436C6" w:rsidRPr="0078524D" w:rsidRDefault="00F51BA1" w:rsidP="00FE6210">
            <w:pPr>
              <w:jc w:val="both"/>
            </w:pPr>
            <w:r>
              <w:t xml:space="preserve">viii. </w:t>
            </w:r>
            <w:r w:rsidRPr="00F51BA1">
              <w:t>Defines an exit strategy by which the regulated user may retain control of system</w:t>
            </w:r>
            <w:r>
              <w:t xml:space="preserve"> </w:t>
            </w:r>
            <w:r w:rsidRPr="00F51BA1">
              <w:t>data</w:t>
            </w:r>
          </w:p>
        </w:tc>
      </w:tr>
      <w:tr w:rsidR="0099339A" w:rsidRPr="002D197E" w14:paraId="01072433" w14:textId="77777777" w:rsidTr="00FA3EC1">
        <w:tc>
          <w:tcPr>
            <w:tcW w:w="9010" w:type="dxa"/>
            <w:gridSpan w:val="2"/>
            <w:shd w:val="clear" w:color="auto" w:fill="92D050"/>
          </w:tcPr>
          <w:p w14:paraId="128B31EE" w14:textId="37A510E8" w:rsidR="0099339A" w:rsidRPr="002D197E" w:rsidRDefault="00FA3EC1" w:rsidP="00FE6210">
            <w:pPr>
              <w:jc w:val="both"/>
              <w:rPr>
                <w:lang w:val="en-GB"/>
              </w:rPr>
            </w:pPr>
            <w:r w:rsidRPr="00FA3EC1">
              <w:rPr>
                <w:color w:val="FFFFFF" w:themeColor="background1"/>
                <w:shd w:val="clear" w:color="auto" w:fill="92D050"/>
                <w:lang w:val="en-GB"/>
              </w:rPr>
              <w:t>ISO27002-2022</w:t>
            </w:r>
            <w:r w:rsidR="0099339A" w:rsidRPr="00FA3EC1">
              <w:rPr>
                <w:color w:val="FFFFFF" w:themeColor="background1"/>
                <w:shd w:val="clear" w:color="auto" w:fill="92D050"/>
                <w:lang w:val="en-GB"/>
              </w:rPr>
              <w:t xml:space="preserve"> ref </w:t>
            </w:r>
            <w:r w:rsidR="0099339A" w:rsidRPr="00FA3EC1">
              <w:rPr>
                <w:color w:val="FFFFFF" w:themeColor="background1"/>
                <w:lang w:val="en-GB"/>
              </w:rPr>
              <w:fldChar w:fldCharType="begin"/>
            </w:r>
            <w:r w:rsidR="0099339A" w:rsidRPr="00FA3EC1">
              <w:rPr>
                <w:color w:val="FFFFFF" w:themeColor="background1"/>
                <w:lang w:val="en-GB"/>
              </w:rPr>
              <w:instrText xml:space="preserve"> REF _Ref527707380 \r \h </w:instrText>
            </w:r>
            <w:r w:rsidR="0099339A" w:rsidRPr="00FA3EC1">
              <w:rPr>
                <w:color w:val="FFFFFF" w:themeColor="background1"/>
                <w:lang w:val="en-GB"/>
              </w:rPr>
            </w:r>
            <w:r w:rsidR="0099339A" w:rsidRPr="00FA3EC1">
              <w:rPr>
                <w:color w:val="FFFFFF" w:themeColor="background1"/>
                <w:lang w:val="en-GB"/>
              </w:rPr>
              <w:fldChar w:fldCharType="separate"/>
            </w:r>
            <w:r w:rsidR="0099339A" w:rsidRPr="00FA3EC1">
              <w:rPr>
                <w:color w:val="FFFFFF" w:themeColor="background1"/>
                <w:lang w:val="en-GB"/>
              </w:rPr>
              <w:t>[2]</w:t>
            </w:r>
            <w:r w:rsidR="0099339A" w:rsidRPr="00FA3EC1">
              <w:rPr>
                <w:color w:val="FFFFFF" w:themeColor="background1"/>
                <w:lang w:val="en-GB"/>
              </w:rPr>
              <w:fldChar w:fldCharType="end"/>
            </w:r>
          </w:p>
        </w:tc>
      </w:tr>
      <w:tr w:rsidR="00F9494F" w:rsidRPr="002D197E" w14:paraId="6FC3138A" w14:textId="77777777" w:rsidTr="00FE6210">
        <w:tc>
          <w:tcPr>
            <w:tcW w:w="3018" w:type="dxa"/>
          </w:tcPr>
          <w:p w14:paraId="27B322AA" w14:textId="3C3DDE3C" w:rsidR="00F9494F" w:rsidRPr="002D197E" w:rsidRDefault="00FA3EC1" w:rsidP="00FE6210">
            <w:pPr>
              <w:jc w:val="both"/>
              <w:rPr>
                <w:lang w:val="en-GB"/>
              </w:rPr>
            </w:pPr>
            <w:r w:rsidRPr="00FA3EC1">
              <w:rPr>
                <w:lang w:val="en-GB"/>
              </w:rPr>
              <w:t>5.23 Information security for use of cloud services</w:t>
            </w:r>
          </w:p>
        </w:tc>
        <w:tc>
          <w:tcPr>
            <w:tcW w:w="5992" w:type="dxa"/>
          </w:tcPr>
          <w:p w14:paraId="208DEA1A" w14:textId="77777777" w:rsidR="00FA3EC1" w:rsidRPr="00FA3EC1" w:rsidRDefault="00FA3EC1" w:rsidP="00FA3EC1">
            <w:pPr>
              <w:jc w:val="both"/>
              <w:rPr>
                <w:i/>
                <w:iCs/>
                <w:lang w:val="en-GB"/>
              </w:rPr>
            </w:pPr>
            <w:r w:rsidRPr="00FA3EC1">
              <w:rPr>
                <w:i/>
                <w:iCs/>
                <w:lang w:val="en-GB"/>
              </w:rPr>
              <w:t>Control</w:t>
            </w:r>
          </w:p>
          <w:p w14:paraId="7F5A98E5" w14:textId="77777777" w:rsidR="00FA3EC1" w:rsidRPr="00FA3EC1" w:rsidRDefault="00FA3EC1" w:rsidP="00FA3EC1">
            <w:pPr>
              <w:jc w:val="both"/>
              <w:rPr>
                <w:lang w:val="en-GB"/>
              </w:rPr>
            </w:pPr>
            <w:r w:rsidRPr="00FA3EC1">
              <w:rPr>
                <w:lang w:val="en-GB"/>
              </w:rPr>
              <w:t>Processes for acquisition, use, management and exit from cloud services should be established in accordance with the organization’s information security requirements.</w:t>
            </w:r>
          </w:p>
          <w:p w14:paraId="4EBE7364" w14:textId="77777777" w:rsidR="0078524D" w:rsidRDefault="0078524D" w:rsidP="00FA3EC1">
            <w:pPr>
              <w:jc w:val="both"/>
              <w:rPr>
                <w:i/>
                <w:iCs/>
                <w:lang w:val="en-GB"/>
              </w:rPr>
            </w:pPr>
          </w:p>
          <w:p w14:paraId="51A884E6" w14:textId="43BD42F4" w:rsidR="00FA3EC1" w:rsidRPr="00FA3EC1" w:rsidRDefault="00FA3EC1" w:rsidP="00FA3EC1">
            <w:pPr>
              <w:jc w:val="both"/>
              <w:rPr>
                <w:i/>
                <w:iCs/>
                <w:lang w:val="en-GB"/>
              </w:rPr>
            </w:pPr>
            <w:r w:rsidRPr="00FA3EC1">
              <w:rPr>
                <w:i/>
                <w:iCs/>
                <w:lang w:val="en-GB"/>
              </w:rPr>
              <w:t>Purpose</w:t>
            </w:r>
          </w:p>
          <w:p w14:paraId="48FF4133" w14:textId="77777777" w:rsidR="00FA3EC1" w:rsidRPr="00FA3EC1" w:rsidRDefault="00FA3EC1" w:rsidP="00FA3EC1">
            <w:pPr>
              <w:jc w:val="both"/>
              <w:rPr>
                <w:lang w:val="en-GB"/>
              </w:rPr>
            </w:pPr>
            <w:r w:rsidRPr="00FA3EC1">
              <w:rPr>
                <w:lang w:val="en-GB"/>
              </w:rPr>
              <w:t>To specify and manage information security for the use of cloud services.</w:t>
            </w:r>
          </w:p>
          <w:p w14:paraId="6ADE0BF9" w14:textId="77777777" w:rsidR="0078524D" w:rsidRDefault="0078524D" w:rsidP="00FA3EC1">
            <w:pPr>
              <w:jc w:val="both"/>
              <w:rPr>
                <w:i/>
                <w:iCs/>
                <w:lang w:val="en-GB"/>
              </w:rPr>
            </w:pPr>
          </w:p>
          <w:p w14:paraId="03750C9C" w14:textId="1997AD3F" w:rsidR="00FA3EC1" w:rsidRPr="00FA3EC1" w:rsidRDefault="00FA3EC1" w:rsidP="00FA3EC1">
            <w:pPr>
              <w:jc w:val="both"/>
              <w:rPr>
                <w:i/>
                <w:iCs/>
                <w:lang w:val="en-GB"/>
              </w:rPr>
            </w:pPr>
            <w:r w:rsidRPr="00FA3EC1">
              <w:rPr>
                <w:i/>
                <w:iCs/>
                <w:lang w:val="en-GB"/>
              </w:rPr>
              <w:t>Guidance</w:t>
            </w:r>
          </w:p>
          <w:p w14:paraId="706268A7" w14:textId="77777777" w:rsidR="00F9494F" w:rsidRDefault="00FA3EC1" w:rsidP="00FA3EC1">
            <w:pPr>
              <w:jc w:val="both"/>
              <w:rPr>
                <w:lang w:val="en-GB"/>
              </w:rPr>
            </w:pPr>
            <w:r w:rsidRPr="00FA3EC1">
              <w:rPr>
                <w:lang w:val="en-GB"/>
              </w:rPr>
              <w:t>The organization should establish and communicate topic-specific policy on the use of cloud services to all relevant interested parties.</w:t>
            </w:r>
          </w:p>
          <w:p w14:paraId="0BED79FB" w14:textId="12FBE72F" w:rsidR="00FA3EC1" w:rsidRDefault="00FA3EC1" w:rsidP="00FA3EC1">
            <w:pPr>
              <w:jc w:val="both"/>
              <w:rPr>
                <w:lang w:val="en-GB"/>
              </w:rPr>
            </w:pPr>
            <w:r w:rsidRPr="00FA3EC1">
              <w:rPr>
                <w:lang w:val="en-GB"/>
              </w:rPr>
              <w:t>The organization should define:</w:t>
            </w:r>
          </w:p>
          <w:p w14:paraId="2FB86C48" w14:textId="0FD0D7D4" w:rsidR="00FA3EC1" w:rsidRDefault="00A50802" w:rsidP="00FA3EC1">
            <w:pPr>
              <w:jc w:val="both"/>
              <w:rPr>
                <w:lang w:val="en-GB"/>
              </w:rPr>
            </w:pPr>
            <w:r>
              <w:rPr>
                <w:lang w:val="en-GB"/>
              </w:rPr>
              <w:t>..</w:t>
            </w:r>
            <w:r w:rsidR="00FA3EC1">
              <w:rPr>
                <w:lang w:val="en-GB"/>
              </w:rPr>
              <w:t>.</w:t>
            </w:r>
          </w:p>
          <w:p w14:paraId="675B84EA" w14:textId="6358B32B" w:rsidR="00FA3EC1" w:rsidRPr="00FA3EC1" w:rsidRDefault="00FA3EC1" w:rsidP="00FA3EC1">
            <w:pPr>
              <w:jc w:val="both"/>
            </w:pPr>
            <w:r w:rsidRPr="00FA3EC1">
              <w:t>j)</w:t>
            </w:r>
            <w:r>
              <w:t xml:space="preserve"> </w:t>
            </w:r>
            <w:r w:rsidRPr="00FA3EC1">
              <w:t>how to change or stop the use of cloud services including exit strategies for cloud services.</w:t>
            </w:r>
          </w:p>
          <w:p w14:paraId="1E459DCA" w14:textId="3C71704C" w:rsidR="00FA3EC1" w:rsidRPr="002D197E" w:rsidRDefault="00FA3EC1" w:rsidP="00FA3EC1">
            <w:pPr>
              <w:jc w:val="both"/>
              <w:rPr>
                <w:lang w:val="en-GB"/>
              </w:rPr>
            </w:pPr>
          </w:p>
        </w:tc>
      </w:tr>
    </w:tbl>
    <w:p w14:paraId="463BC872" w14:textId="77777777" w:rsidR="00F51BA1" w:rsidRDefault="00F51BA1" w:rsidP="00F51BA1">
      <w:pPr>
        <w:pStyle w:val="Heading1"/>
        <w:numPr>
          <w:ilvl w:val="0"/>
          <w:numId w:val="0"/>
        </w:numPr>
        <w:ind w:left="1699" w:hanging="1699"/>
        <w:rPr>
          <w:lang w:val="en-GB"/>
        </w:rPr>
      </w:pPr>
      <w:bookmarkStart w:id="9" w:name="_Toc527708603"/>
    </w:p>
    <w:p w14:paraId="68DCC9B1" w14:textId="77777777" w:rsidR="00F51BA1" w:rsidRDefault="00F51BA1">
      <w:pPr>
        <w:rPr>
          <w:rFonts w:asciiTheme="majorHAnsi" w:eastAsiaTheme="majorEastAsia" w:hAnsiTheme="majorHAnsi" w:cstheme="majorBidi"/>
          <w:color w:val="2E74B5" w:themeColor="accent1" w:themeShade="BF"/>
          <w:sz w:val="32"/>
          <w:szCs w:val="32"/>
          <w:lang w:val="en-GB"/>
        </w:rPr>
      </w:pPr>
      <w:r>
        <w:rPr>
          <w:lang w:val="en-GB"/>
        </w:rPr>
        <w:br w:type="page"/>
      </w:r>
    </w:p>
    <w:p w14:paraId="351DEAE9" w14:textId="7E85AA22" w:rsidR="00FA3EC1" w:rsidRPr="00F653B1" w:rsidRDefault="00FA3EC1" w:rsidP="00F9494F">
      <w:pPr>
        <w:pStyle w:val="Heading1"/>
        <w:ind w:left="993" w:hanging="993"/>
        <w:rPr>
          <w:lang w:val="en-GB"/>
        </w:rPr>
      </w:pPr>
      <w:bookmarkStart w:id="10" w:name="_Toc206345373"/>
      <w:r w:rsidRPr="00F653B1">
        <w:rPr>
          <w:lang w:val="en-GB"/>
        </w:rPr>
        <w:lastRenderedPageBreak/>
        <w:t>Clarification on definitions</w:t>
      </w:r>
      <w:bookmarkEnd w:id="10"/>
    </w:p>
    <w:p w14:paraId="39C88609" w14:textId="19EA942A" w:rsidR="00A50802" w:rsidRDefault="00A50802" w:rsidP="00FA3EC1">
      <w:pPr>
        <w:rPr>
          <w:lang w:val="en-GB"/>
        </w:rPr>
      </w:pPr>
      <w:r>
        <w:rPr>
          <w:lang w:val="en-GB"/>
        </w:rPr>
        <w:t>Some sources describes that an Exit Strategy should be in place. A clear definition isn’t clearly defined. In this document a working definition has been established with following sources as input:</w:t>
      </w:r>
    </w:p>
    <w:tbl>
      <w:tblPr>
        <w:tblStyle w:val="TableGrid"/>
        <w:tblW w:w="0" w:type="auto"/>
        <w:tblLook w:val="04A0" w:firstRow="1" w:lastRow="0" w:firstColumn="1" w:lastColumn="0" w:noHBand="0" w:noVBand="1"/>
      </w:tblPr>
      <w:tblGrid>
        <w:gridCol w:w="3397"/>
        <w:gridCol w:w="5613"/>
      </w:tblGrid>
      <w:tr w:rsidR="007A561F" w14:paraId="33B078E5" w14:textId="77777777" w:rsidTr="00F51BA1">
        <w:trPr>
          <w:tblHeader/>
        </w:trPr>
        <w:tc>
          <w:tcPr>
            <w:tcW w:w="3397" w:type="dxa"/>
            <w:shd w:val="clear" w:color="auto" w:fill="D9D9D9" w:themeFill="background1" w:themeFillShade="D9"/>
          </w:tcPr>
          <w:p w14:paraId="37A625C4" w14:textId="57AD7DB1" w:rsidR="007A561F" w:rsidRDefault="007A561F" w:rsidP="00FA3EC1">
            <w:pPr>
              <w:rPr>
                <w:lang w:val="en-GB"/>
              </w:rPr>
            </w:pPr>
            <w:r>
              <w:rPr>
                <w:lang w:val="en-GB"/>
              </w:rPr>
              <w:t>Source</w:t>
            </w:r>
          </w:p>
        </w:tc>
        <w:tc>
          <w:tcPr>
            <w:tcW w:w="5613" w:type="dxa"/>
            <w:shd w:val="clear" w:color="auto" w:fill="D9D9D9" w:themeFill="background1" w:themeFillShade="D9"/>
          </w:tcPr>
          <w:p w14:paraId="7C03AA7D" w14:textId="40BC7D73" w:rsidR="007A561F" w:rsidRPr="007A561F" w:rsidRDefault="007A561F" w:rsidP="00FA3EC1">
            <w:pPr>
              <w:rPr>
                <w:lang w:val="en-GB"/>
              </w:rPr>
            </w:pPr>
            <w:r>
              <w:rPr>
                <w:lang w:val="en-GB"/>
              </w:rPr>
              <w:t>Definition</w:t>
            </w:r>
          </w:p>
        </w:tc>
      </w:tr>
      <w:tr w:rsidR="007A561F" w14:paraId="4D747067" w14:textId="77777777" w:rsidTr="00F51BA1">
        <w:trPr>
          <w:tblHeader/>
        </w:trPr>
        <w:tc>
          <w:tcPr>
            <w:tcW w:w="3397" w:type="dxa"/>
          </w:tcPr>
          <w:p w14:paraId="7DF55EBE" w14:textId="2CF6ED8D" w:rsidR="007A561F" w:rsidRDefault="007A561F" w:rsidP="00FA3EC1">
            <w:pPr>
              <w:rPr>
                <w:lang w:val="en-GB"/>
              </w:rPr>
            </w:pPr>
            <w:r>
              <w:rPr>
                <w:lang w:val="en-GB"/>
              </w:rPr>
              <w:t>Cambridge online dictionary [4]</w:t>
            </w:r>
          </w:p>
        </w:tc>
        <w:tc>
          <w:tcPr>
            <w:tcW w:w="5613" w:type="dxa"/>
          </w:tcPr>
          <w:p w14:paraId="1ECB1082" w14:textId="281620E1" w:rsidR="007A561F" w:rsidRDefault="007A561F" w:rsidP="00FA3EC1">
            <w:pPr>
              <w:rPr>
                <w:lang w:val="en-GB"/>
              </w:rPr>
            </w:pPr>
            <w:r>
              <w:rPr>
                <w:lang w:val="en-GB"/>
              </w:rPr>
              <w:t>E</w:t>
            </w:r>
            <w:r w:rsidRPr="007A561F">
              <w:rPr>
                <w:lang w:val="en-GB"/>
              </w:rPr>
              <w:t xml:space="preserve">xit </w:t>
            </w:r>
            <w:r>
              <w:rPr>
                <w:lang w:val="en-GB"/>
              </w:rPr>
              <w:t>S</w:t>
            </w:r>
            <w:r w:rsidRPr="007A561F">
              <w:rPr>
                <w:lang w:val="en-GB"/>
              </w:rPr>
              <w:t>trategy</w:t>
            </w:r>
          </w:p>
          <w:p w14:paraId="2F39D2FB" w14:textId="77777777" w:rsidR="007A561F" w:rsidRDefault="007A561F" w:rsidP="00FA3EC1">
            <w:pPr>
              <w:rPr>
                <w:lang w:val="en-GB"/>
              </w:rPr>
            </w:pPr>
          </w:p>
          <w:p w14:paraId="494093D7" w14:textId="2A9CD274" w:rsidR="007A561F" w:rsidRDefault="007A561F" w:rsidP="00FA3EC1">
            <w:pPr>
              <w:rPr>
                <w:lang w:val="en-GB"/>
              </w:rPr>
            </w:pPr>
            <w:r w:rsidRPr="007A561F">
              <w:rPr>
                <w:lang w:val="en-GB"/>
              </w:rPr>
              <w:t>a plan of how someone will end something such as a business deal or a military operation</w:t>
            </w:r>
          </w:p>
        </w:tc>
      </w:tr>
      <w:tr w:rsidR="007A561F" w14:paraId="676AF136" w14:textId="77777777" w:rsidTr="00F51BA1">
        <w:trPr>
          <w:tblHeader/>
        </w:trPr>
        <w:tc>
          <w:tcPr>
            <w:tcW w:w="3397" w:type="dxa"/>
          </w:tcPr>
          <w:p w14:paraId="0708FC55" w14:textId="5CC71014" w:rsidR="007A561F" w:rsidRDefault="007A561F" w:rsidP="00FA3EC1">
            <w:pPr>
              <w:rPr>
                <w:lang w:val="en-GB"/>
              </w:rPr>
            </w:pPr>
            <w:r>
              <w:rPr>
                <w:lang w:val="en-GB"/>
              </w:rPr>
              <w:t>KPMG [6]</w:t>
            </w:r>
          </w:p>
        </w:tc>
        <w:tc>
          <w:tcPr>
            <w:tcW w:w="5613" w:type="dxa"/>
          </w:tcPr>
          <w:p w14:paraId="7A9497D0" w14:textId="384F6B87" w:rsidR="007A561F" w:rsidRDefault="007A561F" w:rsidP="007A561F">
            <w:r w:rsidRPr="007A561F">
              <w:t>A cloud exit strategy, commonly referred to as a reverse migration, is the process of developing a plan to ensure that a business can effectively switch from one cloud provider to another without a larger disruption. This should be the focus area for all the businesses who want to migrate to cloud.</w:t>
            </w:r>
          </w:p>
          <w:p w14:paraId="59DCEA84" w14:textId="77777777" w:rsidR="007A561F" w:rsidRPr="007A561F" w:rsidRDefault="007A561F" w:rsidP="007A561F"/>
          <w:p w14:paraId="3190FE99" w14:textId="77777777" w:rsidR="007A561F" w:rsidRPr="007A561F" w:rsidRDefault="007A561F" w:rsidP="007A561F">
            <w:r w:rsidRPr="007A561F">
              <w:t>Ideally, they need to explore, document the challenges and roadblocks beforehand (before moving to cloud). This may also be the case even if your companies never return to on-premises infrastructure (Cloud repatriation). An exit strategy can help you through talks with service providers and have an impact on your design (current and future state).</w:t>
            </w:r>
          </w:p>
          <w:p w14:paraId="7EC50558" w14:textId="77777777" w:rsidR="007A561F" w:rsidRPr="007A561F" w:rsidRDefault="007A561F" w:rsidP="00FA3EC1"/>
        </w:tc>
      </w:tr>
    </w:tbl>
    <w:p w14:paraId="67A5BD96" w14:textId="26DB6240" w:rsidR="00F9494F" w:rsidRPr="002D197E" w:rsidRDefault="00FA3EC1" w:rsidP="00F9494F">
      <w:pPr>
        <w:pStyle w:val="Heading1"/>
        <w:ind w:left="993" w:hanging="993"/>
        <w:rPr>
          <w:lang w:val="en-GB"/>
        </w:rPr>
      </w:pPr>
      <w:bookmarkStart w:id="11" w:name="_Toc206345374"/>
      <w:bookmarkEnd w:id="9"/>
      <w:r w:rsidRPr="6F3AAE03">
        <w:rPr>
          <w:lang w:val="en-GB"/>
        </w:rPr>
        <w:t xml:space="preserve">Elements in </w:t>
      </w:r>
      <w:r w:rsidR="00DA3880" w:rsidRPr="6F3AAE03">
        <w:rPr>
          <w:lang w:val="en-GB"/>
        </w:rPr>
        <w:t>E</w:t>
      </w:r>
      <w:r w:rsidRPr="6F3AAE03">
        <w:rPr>
          <w:lang w:val="en-GB"/>
        </w:rPr>
        <w:t xml:space="preserve">xit </w:t>
      </w:r>
      <w:r w:rsidR="00DA3880" w:rsidRPr="6F3AAE03">
        <w:rPr>
          <w:lang w:val="en-GB"/>
        </w:rPr>
        <w:t>S</w:t>
      </w:r>
      <w:r w:rsidRPr="6F3AAE03">
        <w:rPr>
          <w:lang w:val="en-GB"/>
        </w:rPr>
        <w:t>trategy</w:t>
      </w:r>
      <w:bookmarkEnd w:id="11"/>
    </w:p>
    <w:p w14:paraId="732E100A" w14:textId="71C4A03C" w:rsidR="00FA3EC1" w:rsidRDefault="00DA3880" w:rsidP="00DA3880">
      <w:pPr>
        <w:pStyle w:val="Heading2"/>
        <w:rPr>
          <w:lang w:val="en-GB"/>
        </w:rPr>
      </w:pPr>
      <w:bookmarkStart w:id="12" w:name="_Toc206345375"/>
      <w:r w:rsidRPr="6F3AAE03">
        <w:rPr>
          <w:lang w:val="en-GB"/>
        </w:rPr>
        <w:t>Data Security and Integrity</w:t>
      </w:r>
      <w:bookmarkEnd w:id="12"/>
    </w:p>
    <w:p w14:paraId="0B66A0E9" w14:textId="67A5E019" w:rsidR="00FA3EC1" w:rsidRDefault="142D2FD2" w:rsidP="3C507C6F">
      <w:pPr>
        <w:rPr>
          <w:lang w:val="en-GB"/>
        </w:rPr>
      </w:pPr>
      <w:r w:rsidRPr="3C507C6F">
        <w:rPr>
          <w:lang w:val="en-GB"/>
        </w:rPr>
        <w:t>Data Security and Data Integrity are two foundational concepts in information security and data management, each focusing on different aspects of protecting and maintaining data.</w:t>
      </w:r>
    </w:p>
    <w:p w14:paraId="088400D7" w14:textId="08418D0E" w:rsidR="00FA3EC1" w:rsidRDefault="142D2FD2" w:rsidP="6F3AAE03">
      <w:pPr>
        <w:pStyle w:val="Heading3"/>
        <w:rPr>
          <w:lang w:val="en-GB"/>
        </w:rPr>
      </w:pPr>
      <w:r w:rsidRPr="6F3AAE03">
        <w:rPr>
          <w:lang w:val="en-GB"/>
        </w:rPr>
        <w:t xml:space="preserve"> </w:t>
      </w:r>
      <w:bookmarkStart w:id="13" w:name="_Toc206345376"/>
      <w:r w:rsidRPr="6F3AAE03">
        <w:rPr>
          <w:lang w:val="en-GB"/>
        </w:rPr>
        <w:t>Data Security</w:t>
      </w:r>
      <w:bookmarkEnd w:id="13"/>
    </w:p>
    <w:p w14:paraId="05481A00" w14:textId="705831D1" w:rsidR="00FA3EC1" w:rsidRDefault="142D2FD2" w:rsidP="3C507C6F">
      <w:r w:rsidRPr="3C507C6F">
        <w:rPr>
          <w:lang w:val="en-GB"/>
        </w:rPr>
        <w:t>Data Security refers to the protection of data from unauthorized access, misuse, corruption, or theft throughout its lifecycle. It encompasses the processes, technologies, and practices designed to safeguard data from malicious attacks, loss, or compromise.</w:t>
      </w:r>
    </w:p>
    <w:p w14:paraId="4324C322" w14:textId="62AEA351" w:rsidR="00FA3EC1" w:rsidRDefault="142D2FD2" w:rsidP="3C507C6F">
      <w:pPr>
        <w:rPr>
          <w:lang w:val="en-GB"/>
        </w:rPr>
      </w:pPr>
      <w:r w:rsidRPr="3C507C6F">
        <w:rPr>
          <w:lang w:val="en-GB"/>
        </w:rPr>
        <w:t xml:space="preserve">Key aspects of data security </w:t>
      </w:r>
      <w:r w:rsidR="01D9F096" w:rsidRPr="3C507C6F">
        <w:rPr>
          <w:lang w:val="en-GB"/>
        </w:rPr>
        <w:t>include to be covered in an exit strategy</w:t>
      </w:r>
      <w:r w:rsidRPr="3C507C6F">
        <w:rPr>
          <w:lang w:val="en-GB"/>
        </w:rPr>
        <w:t>:</w:t>
      </w:r>
    </w:p>
    <w:p w14:paraId="3464EAB2" w14:textId="21F8AFB2" w:rsidR="00FA3EC1" w:rsidRDefault="142D2FD2" w:rsidP="3C507C6F">
      <w:pPr>
        <w:pStyle w:val="ListParagraph"/>
        <w:numPr>
          <w:ilvl w:val="0"/>
          <w:numId w:val="4"/>
        </w:numPr>
      </w:pPr>
      <w:r w:rsidRPr="3C507C6F">
        <w:rPr>
          <w:lang w:val="en-GB"/>
        </w:rPr>
        <w:t>Confidentiality: Ensuring that sensitive information is accessible only to those authorized to have access. This often involves encryption, access control mechanisms, and data masking.</w:t>
      </w:r>
    </w:p>
    <w:p w14:paraId="3BCC964B" w14:textId="0DB5FBC6" w:rsidR="00FA3EC1" w:rsidRDefault="142D2FD2" w:rsidP="3C507C6F">
      <w:pPr>
        <w:pStyle w:val="ListParagraph"/>
        <w:numPr>
          <w:ilvl w:val="0"/>
          <w:numId w:val="4"/>
        </w:numPr>
      </w:pPr>
      <w:r w:rsidRPr="3C507C6F">
        <w:rPr>
          <w:lang w:val="en-GB"/>
        </w:rPr>
        <w:t>Integrity: Protecting data from being altered or tampered with by unauthorized users. This is achieved through checksums, hash functions, digital signatures, and access controls.</w:t>
      </w:r>
    </w:p>
    <w:p w14:paraId="6C73214D" w14:textId="5CD7CB04" w:rsidR="00FA3EC1" w:rsidRDefault="142D2FD2" w:rsidP="3C507C6F">
      <w:pPr>
        <w:pStyle w:val="ListParagraph"/>
        <w:numPr>
          <w:ilvl w:val="0"/>
          <w:numId w:val="4"/>
        </w:numPr>
      </w:pPr>
      <w:r w:rsidRPr="3C507C6F">
        <w:rPr>
          <w:lang w:val="en-GB"/>
        </w:rPr>
        <w:t>Availability: Ensuring that data is available to authorized users when needed, which involves backups, failover systems, and ensuring reliable access.</w:t>
      </w:r>
    </w:p>
    <w:p w14:paraId="6787056B" w14:textId="01BC7C67" w:rsidR="00FA3EC1" w:rsidRDefault="142D2FD2" w:rsidP="3C507C6F">
      <w:pPr>
        <w:pStyle w:val="ListParagraph"/>
        <w:numPr>
          <w:ilvl w:val="0"/>
          <w:numId w:val="4"/>
        </w:numPr>
      </w:pPr>
      <w:r w:rsidRPr="3C507C6F">
        <w:rPr>
          <w:lang w:val="en-GB"/>
        </w:rPr>
        <w:t>Authentication and Authorization: Verifying the identity of users accessing the system and ensuring they have appropriate permissions.</w:t>
      </w:r>
    </w:p>
    <w:p w14:paraId="640C867C" w14:textId="5BD3E81D" w:rsidR="00FA3EC1" w:rsidRDefault="142D2FD2" w:rsidP="3C507C6F">
      <w:pPr>
        <w:pStyle w:val="ListParagraph"/>
        <w:numPr>
          <w:ilvl w:val="0"/>
          <w:numId w:val="4"/>
        </w:numPr>
      </w:pPr>
      <w:r w:rsidRPr="3C507C6F">
        <w:rPr>
          <w:lang w:val="en-GB"/>
        </w:rPr>
        <w:lastRenderedPageBreak/>
        <w:t>Data Encryption: Encrypting data both at rest (stored data) and in transit (data being transferred over networks) to prevent unauthorized access.</w:t>
      </w:r>
    </w:p>
    <w:p w14:paraId="177458A2" w14:textId="2252D249" w:rsidR="00FA3EC1" w:rsidRDefault="142D2FD2" w:rsidP="3C507C6F">
      <w:pPr>
        <w:pStyle w:val="ListParagraph"/>
        <w:numPr>
          <w:ilvl w:val="0"/>
          <w:numId w:val="4"/>
        </w:numPr>
      </w:pPr>
      <w:r w:rsidRPr="3C507C6F">
        <w:rPr>
          <w:lang w:val="en-GB"/>
        </w:rPr>
        <w:t>Data Loss Prevention (DLP): Implementing measures to prevent data breaches, leaks, and loss, both internally and externally.</w:t>
      </w:r>
    </w:p>
    <w:p w14:paraId="7BED4BE5" w14:textId="099C9F33" w:rsidR="00FA3EC1" w:rsidRDefault="142D2FD2" w:rsidP="6F3AAE03">
      <w:pPr>
        <w:pStyle w:val="Heading3"/>
        <w:rPr>
          <w:lang w:val="en-GB"/>
        </w:rPr>
      </w:pPr>
      <w:bookmarkStart w:id="14" w:name="_Toc206345377"/>
      <w:r w:rsidRPr="6F3AAE03">
        <w:rPr>
          <w:lang w:val="en-GB"/>
        </w:rPr>
        <w:t>Data Integrity</w:t>
      </w:r>
      <w:bookmarkEnd w:id="14"/>
    </w:p>
    <w:p w14:paraId="3E5AEA6E" w14:textId="7FB0CC34" w:rsidR="00FA3EC1" w:rsidRDefault="142D2FD2" w:rsidP="3C507C6F">
      <w:r w:rsidRPr="3C507C6F">
        <w:rPr>
          <w:lang w:val="en-GB"/>
        </w:rPr>
        <w:t>Data Integrity refers to the accuracy, consistency, and reliability of data throughout its lifecycle. It ensures that data remains unchanged from its source and is protected against unauthorized modification.</w:t>
      </w:r>
    </w:p>
    <w:p w14:paraId="720D91CC" w14:textId="3DB9F65A" w:rsidR="00FA3EC1" w:rsidRDefault="142D2FD2" w:rsidP="3C507C6F">
      <w:pPr>
        <w:rPr>
          <w:lang w:val="en-GB"/>
        </w:rPr>
      </w:pPr>
      <w:r w:rsidRPr="3C507C6F">
        <w:rPr>
          <w:lang w:val="en-GB"/>
        </w:rPr>
        <w:t>Key aspects of data integrity include</w:t>
      </w:r>
      <w:r w:rsidR="560272F0" w:rsidRPr="3C507C6F">
        <w:rPr>
          <w:lang w:val="en-GB"/>
        </w:rPr>
        <w:t xml:space="preserve"> to be covered in an exit strategy:</w:t>
      </w:r>
    </w:p>
    <w:p w14:paraId="55A6717D" w14:textId="0774E18B" w:rsidR="00FA3EC1" w:rsidRDefault="142D2FD2" w:rsidP="3C507C6F">
      <w:pPr>
        <w:pStyle w:val="ListParagraph"/>
        <w:numPr>
          <w:ilvl w:val="0"/>
          <w:numId w:val="3"/>
        </w:numPr>
      </w:pPr>
      <w:r w:rsidRPr="3C507C6F">
        <w:rPr>
          <w:lang w:val="en-GB"/>
        </w:rPr>
        <w:t>Accuracy: Data must be accurate and free from errors. This means that the data reflects real-world scenarios or transactions correctly.</w:t>
      </w:r>
    </w:p>
    <w:p w14:paraId="4D010682" w14:textId="64D49ADB" w:rsidR="00FA3EC1" w:rsidRDefault="142D2FD2" w:rsidP="3C507C6F">
      <w:pPr>
        <w:pStyle w:val="ListParagraph"/>
        <w:numPr>
          <w:ilvl w:val="0"/>
          <w:numId w:val="3"/>
        </w:numPr>
      </w:pPr>
      <w:r w:rsidRPr="3C507C6F">
        <w:rPr>
          <w:lang w:val="en-GB"/>
        </w:rPr>
        <w:t>Consistency: Data should remain consistent across different databases and systems. If a value is updated in one location, it should be updated everywhere.</w:t>
      </w:r>
    </w:p>
    <w:p w14:paraId="362BFBBD" w14:textId="07B797B9" w:rsidR="00FA3EC1" w:rsidRDefault="142D2FD2" w:rsidP="3C507C6F">
      <w:pPr>
        <w:pStyle w:val="ListParagraph"/>
        <w:numPr>
          <w:ilvl w:val="0"/>
          <w:numId w:val="3"/>
        </w:numPr>
      </w:pPr>
      <w:r w:rsidRPr="3C507C6F">
        <w:rPr>
          <w:lang w:val="en-GB"/>
        </w:rPr>
        <w:t>Validity: Data must conform to predefined rules and formats, such as data type and range checks.</w:t>
      </w:r>
    </w:p>
    <w:p w14:paraId="15B26DF2" w14:textId="2C04C622" w:rsidR="00FA3EC1" w:rsidRDefault="142D2FD2" w:rsidP="3C507C6F">
      <w:pPr>
        <w:pStyle w:val="ListParagraph"/>
        <w:numPr>
          <w:ilvl w:val="0"/>
          <w:numId w:val="3"/>
        </w:numPr>
      </w:pPr>
      <w:r w:rsidRPr="3C507C6F">
        <w:rPr>
          <w:lang w:val="en-GB"/>
        </w:rPr>
        <w:t>Completeness: All required data must be present. Missing or incomplete data can lead to erroneous conclusions or decisions.</w:t>
      </w:r>
    </w:p>
    <w:p w14:paraId="4D973BA5" w14:textId="11EC4D6E" w:rsidR="00FA3EC1" w:rsidRDefault="142D2FD2" w:rsidP="3C507C6F">
      <w:pPr>
        <w:pStyle w:val="ListParagraph"/>
        <w:numPr>
          <w:ilvl w:val="0"/>
          <w:numId w:val="3"/>
        </w:numPr>
      </w:pPr>
      <w:r w:rsidRPr="3C507C6F">
        <w:rPr>
          <w:lang w:val="en-GB"/>
        </w:rPr>
        <w:t>Data Validation and Verification: Regular checks should be performed to ensure data has not been altered or corrupted. Techniques such as checksums, hashes, and digital signatures can be used to verify data integrity.</w:t>
      </w:r>
    </w:p>
    <w:p w14:paraId="45DD8DFE" w14:textId="30504CEC" w:rsidR="00FA3EC1" w:rsidRDefault="142D2FD2" w:rsidP="761A3D51">
      <w:pPr>
        <w:pStyle w:val="ListParagraph"/>
        <w:numPr>
          <w:ilvl w:val="0"/>
          <w:numId w:val="3"/>
        </w:numPr>
        <w:rPr>
          <w:lang w:val="en-GB"/>
        </w:rPr>
      </w:pPr>
      <w:r w:rsidRPr="761A3D51">
        <w:rPr>
          <w:lang w:val="en-GB"/>
        </w:rPr>
        <w:t>Audit Trails and Logs: Maintaining logs of all data changes, including who made the change, when it was made, and what the change was, to trace any potential integrity issues.</w:t>
      </w:r>
      <w:r w:rsidR="3955A457" w:rsidRPr="761A3D51">
        <w:rPr>
          <w:lang w:val="en-GB"/>
        </w:rPr>
        <w:t xml:space="preserve"> This should include periodic reviews of audit trails and logs for unusual or potentially </w:t>
      </w:r>
      <w:r w:rsidR="22C87845" w:rsidRPr="761A3D51">
        <w:rPr>
          <w:lang w:val="en-GB"/>
        </w:rPr>
        <w:t>malicious activity.</w:t>
      </w:r>
    </w:p>
    <w:p w14:paraId="14520D7C" w14:textId="4DAC5811" w:rsidR="00FA3EC1" w:rsidRDefault="142D2FD2" w:rsidP="3C507C6F">
      <w:r w:rsidRPr="3C507C6F">
        <w:rPr>
          <w:lang w:val="en-GB"/>
        </w:rPr>
        <w:t>Data Security is about protecting data from unauthorized access, breaches, and theft, focusing on confidentiality, integrity, and availability.</w:t>
      </w:r>
    </w:p>
    <w:p w14:paraId="2962D5F1" w14:textId="20343243" w:rsidR="00FA3EC1" w:rsidRDefault="142D2FD2" w:rsidP="3C507C6F">
      <w:r w:rsidRPr="3C507C6F">
        <w:rPr>
          <w:lang w:val="en-GB"/>
        </w:rPr>
        <w:t>Data Integrity is about maintaining the accuracy, consistency, and reliability of data over its lifecycle, ensuring it remains unaltered and trustworthy.</w:t>
      </w:r>
    </w:p>
    <w:p w14:paraId="6F5C0BC3" w14:textId="4F582AAA" w:rsidR="00FA3EC1" w:rsidRDefault="142D2FD2" w:rsidP="3C507C6F">
      <w:pPr>
        <w:rPr>
          <w:lang w:val="en-GB"/>
        </w:rPr>
      </w:pPr>
      <w:r w:rsidRPr="3C507C6F">
        <w:rPr>
          <w:lang w:val="en-GB"/>
        </w:rPr>
        <w:t>Together, data security and integrity ensure that data is both protected and reliable, making them critical components in any data management and information security strategy</w:t>
      </w:r>
      <w:r w:rsidR="4CB6F493" w:rsidRPr="3C507C6F">
        <w:rPr>
          <w:lang w:val="en-GB"/>
        </w:rPr>
        <w:t xml:space="preserve"> also during an exit strategy</w:t>
      </w:r>
      <w:r w:rsidRPr="3C507C6F">
        <w:rPr>
          <w:lang w:val="en-GB"/>
        </w:rPr>
        <w:t>.</w:t>
      </w:r>
    </w:p>
    <w:p w14:paraId="783F4917" w14:textId="606C6D23" w:rsidR="00DA3880" w:rsidRDefault="00DA3880" w:rsidP="00DA3880">
      <w:pPr>
        <w:pStyle w:val="Heading2"/>
      </w:pPr>
      <w:bookmarkStart w:id="15" w:name="_Toc206345378"/>
      <w:r>
        <w:t>Business Continuity</w:t>
      </w:r>
      <w:bookmarkEnd w:id="15"/>
    </w:p>
    <w:p w14:paraId="3AA3B3E1" w14:textId="5B4122A0" w:rsidR="00DA3880" w:rsidRPr="00DA3880" w:rsidRDefault="3D33A113" w:rsidP="00DA3880">
      <w:r>
        <w:t xml:space="preserve">Business Continuity </w:t>
      </w:r>
      <w:r w:rsidR="7F0A6EDB">
        <w:t>is simply defined as a company’s plan to restore the most critical function</w:t>
      </w:r>
      <w:r w:rsidR="75B05B7C">
        <w:t>s</w:t>
      </w:r>
      <w:r w:rsidR="7F0A6EDB">
        <w:t xml:space="preserve"> as part of a disaster</w:t>
      </w:r>
      <w:r w:rsidR="36F79B91">
        <w:t xml:space="preserve"> to keep the business functioning</w:t>
      </w:r>
      <w:r w:rsidR="7F0A6EDB">
        <w:t xml:space="preserve">. </w:t>
      </w:r>
      <w:r w:rsidR="17418D47">
        <w:t>There may be a number of systems that are included in the BCP (Business Continuity Plan), each system having their ow</w:t>
      </w:r>
      <w:r w:rsidR="6A244D46">
        <w:t>n Disaster Recovery (DR) process defined. If you</w:t>
      </w:r>
      <w:r w:rsidR="2DA82D5F">
        <w:t>r company has such plans in place, it may provide a reference to assist in developing an Exit Strategy for a plat</w:t>
      </w:r>
      <w:r w:rsidR="75322B0C">
        <w:t xml:space="preserve">form. </w:t>
      </w:r>
      <w:r w:rsidR="50A8BE2E">
        <w:t>Yes, the BCP is usually restoring operat</w:t>
      </w:r>
      <w:r w:rsidR="47D702B5">
        <w:t xml:space="preserve">ions using the same applications, etc. </w:t>
      </w:r>
      <w:r w:rsidR="1B09B277">
        <w:t>w</w:t>
      </w:r>
      <w:r w:rsidR="47D702B5">
        <w:t>here the exit strategy is moving to a different provider</w:t>
      </w:r>
      <w:r w:rsidR="1AD60903">
        <w:t>, but many elements to address are common.</w:t>
      </w:r>
    </w:p>
    <w:p w14:paraId="359A5D50" w14:textId="095C2A6D" w:rsidR="00DA3880" w:rsidRDefault="00DA3880" w:rsidP="6F3AAE03">
      <w:pPr>
        <w:pStyle w:val="Heading2"/>
        <w:rPr>
          <w:lang w:val="en-GB"/>
        </w:rPr>
      </w:pPr>
      <w:bookmarkStart w:id="16" w:name="_Toc206345379"/>
      <w:r>
        <w:lastRenderedPageBreak/>
        <w:t>Vendor Lock-In Prevention</w:t>
      </w:r>
      <w:bookmarkEnd w:id="16"/>
    </w:p>
    <w:p w14:paraId="79672002" w14:textId="0569D8F2" w:rsidR="00DA3880" w:rsidRDefault="58EBA42C" w:rsidP="00DA3880">
      <w:r>
        <w:t>Vendor lock-in prevention refers to strategies and practices that organizations implement to avoid becoming overly dependent on a single cloud service provider (</w:t>
      </w:r>
      <w:r w:rsidRPr="00F653B1">
        <w:t>CSP</w:t>
      </w:r>
      <w:r>
        <w:t>). The goal is to ensure flexibility, portability, and ease of migration between different cloud platforms or back to an on-premises environment without incurring excessive costs, complexity, or disruptions.</w:t>
      </w:r>
      <w:r w:rsidR="71F9799E">
        <w:t xml:space="preserve"> This may sometimes be referred to as a “Cloud Agnostic” strategy. Although no solution would</w:t>
      </w:r>
      <w:r w:rsidR="2E349B4C">
        <w:t xml:space="preserve"> necessarily be 100% agnostic, the proper planning and execution may allow it be achieved with minimal </w:t>
      </w:r>
      <w:r w:rsidR="734556EB">
        <w:t xml:space="preserve">differences between the two solutions. </w:t>
      </w:r>
    </w:p>
    <w:p w14:paraId="7C578C41" w14:textId="3CEE449F" w:rsidR="00DA3880" w:rsidRDefault="58EBA42C" w:rsidP="6F3AAE03">
      <w:pPr>
        <w:pStyle w:val="Heading3"/>
      </w:pPr>
      <w:bookmarkStart w:id="17" w:name="_Toc206345380"/>
      <w:r>
        <w:t>What is Vendor Lock-In?</w:t>
      </w:r>
      <w:bookmarkEnd w:id="17"/>
    </w:p>
    <w:p w14:paraId="5739F174" w14:textId="64D9D64D" w:rsidR="00DA3880" w:rsidRDefault="58EBA42C" w:rsidP="6F3AAE03">
      <w:r>
        <w:t>Vendor Lock-In occurs when a customer becomes dependent on a single CSP's technology, services, tools, or APIs to the extent that switching to another provider becomes difficult, costly, or impractical. This can result in limited flexibility, increased costs, and potential challenges in adapting to changes in business needs or technological advancements.</w:t>
      </w:r>
    </w:p>
    <w:p w14:paraId="178512F2" w14:textId="03B50A84" w:rsidR="00DA3880" w:rsidRDefault="58EBA42C" w:rsidP="6F3AAE03">
      <w:pPr>
        <w:pStyle w:val="Heading3"/>
      </w:pPr>
      <w:bookmarkStart w:id="18" w:name="_Toc206345381"/>
      <w:r>
        <w:t>Key Strategies for Vendor Lock-In Prevention</w:t>
      </w:r>
      <w:bookmarkEnd w:id="18"/>
    </w:p>
    <w:p w14:paraId="53868AE7" w14:textId="4808032D" w:rsidR="00DA3880" w:rsidRDefault="58EBA42C" w:rsidP="6F3AAE03">
      <w:pPr>
        <w:pStyle w:val="ListParagraph"/>
        <w:numPr>
          <w:ilvl w:val="0"/>
          <w:numId w:val="1"/>
        </w:numPr>
      </w:pPr>
      <w:r>
        <w:t>Adopt a Multi-Cloud Strategy</w:t>
      </w:r>
    </w:p>
    <w:p w14:paraId="4FA50DBA" w14:textId="4AA3BEDB" w:rsidR="00DA3880" w:rsidRDefault="58EBA42C" w:rsidP="6F3AAE03">
      <w:pPr>
        <w:pStyle w:val="ListParagraph"/>
        <w:numPr>
          <w:ilvl w:val="1"/>
          <w:numId w:val="1"/>
        </w:numPr>
      </w:pPr>
      <w:r>
        <w:t>Use multiple cloud providers to distribute workloads, data storage, and applications across different environments. This strategy helps avoid reliance on a single provider and provides flexibility to switch or move services as needed.</w:t>
      </w:r>
    </w:p>
    <w:p w14:paraId="0BA379BE" w14:textId="0AB3A306" w:rsidR="00DA3880" w:rsidRDefault="58EBA42C" w:rsidP="6F3AAE03">
      <w:pPr>
        <w:pStyle w:val="ListParagraph"/>
        <w:numPr>
          <w:ilvl w:val="1"/>
          <w:numId w:val="1"/>
        </w:numPr>
      </w:pPr>
      <w:r>
        <w:t>Ensure applications are designed to work across different cloud platforms by using common standards and technologies.</w:t>
      </w:r>
    </w:p>
    <w:p w14:paraId="0D7C2FE0" w14:textId="77777777" w:rsidR="00830D51" w:rsidRDefault="00830D51" w:rsidP="00830D51">
      <w:pPr>
        <w:pStyle w:val="ListParagraph"/>
        <w:ind w:left="1440"/>
      </w:pPr>
    </w:p>
    <w:p w14:paraId="0C7A75C0" w14:textId="761222E8" w:rsidR="00DA3880" w:rsidRDefault="58EBA42C" w:rsidP="6F3AAE03">
      <w:pPr>
        <w:pStyle w:val="ListParagraph"/>
        <w:numPr>
          <w:ilvl w:val="0"/>
          <w:numId w:val="1"/>
        </w:numPr>
      </w:pPr>
      <w:r>
        <w:t>Utilize Open Standards and Interoperable Technologies</w:t>
      </w:r>
    </w:p>
    <w:p w14:paraId="22F48CA6" w14:textId="3DCE536A" w:rsidR="00DA3880" w:rsidRDefault="58EBA42C" w:rsidP="6F3AAE03">
      <w:pPr>
        <w:pStyle w:val="ListParagraph"/>
        <w:numPr>
          <w:ilvl w:val="1"/>
          <w:numId w:val="1"/>
        </w:numPr>
      </w:pPr>
      <w:r>
        <w:t>Use open standards (e.g., Kubernetes, Docker, OpenStack) and interoperable technologies that are supported by multiple cloud providers. This reduces dependency on proprietary services and facilitates portability.</w:t>
      </w:r>
    </w:p>
    <w:p w14:paraId="4B711EF3" w14:textId="69C678B9" w:rsidR="00DA3880" w:rsidRDefault="58EBA42C" w:rsidP="6F3AAE03">
      <w:pPr>
        <w:pStyle w:val="ListParagraph"/>
        <w:numPr>
          <w:ilvl w:val="1"/>
          <w:numId w:val="1"/>
        </w:numPr>
      </w:pPr>
      <w:r>
        <w:t>Leverage APIs, databases, and services that follow widely adopted standards to enable seamless integration and migration.</w:t>
      </w:r>
    </w:p>
    <w:p w14:paraId="75A68CEC" w14:textId="6920D976" w:rsidR="112D9093" w:rsidRDefault="112D9093" w:rsidP="761A3D51">
      <w:pPr>
        <w:pStyle w:val="ListParagraph"/>
        <w:numPr>
          <w:ilvl w:val="1"/>
          <w:numId w:val="1"/>
        </w:numPr>
      </w:pPr>
      <w:r>
        <w:t>Remember, many of these technologies (particularly the tools) may be open-sourced. If working</w:t>
      </w:r>
      <w:r w:rsidR="7FE8A55B">
        <w:t xml:space="preserve"> in a regulated environment, be sure to implement controls on versions of software used. </w:t>
      </w:r>
    </w:p>
    <w:p w14:paraId="7D384070" w14:textId="77777777" w:rsidR="00242BFF" w:rsidRDefault="00242BFF" w:rsidP="00242BFF">
      <w:pPr>
        <w:pStyle w:val="ListParagraph"/>
        <w:ind w:left="1440"/>
      </w:pPr>
    </w:p>
    <w:p w14:paraId="3A3E2852" w14:textId="3ED0114B" w:rsidR="00DA3880" w:rsidRPr="00440328" w:rsidRDefault="58EBA42C" w:rsidP="6F3AAE03">
      <w:pPr>
        <w:pStyle w:val="ListParagraph"/>
        <w:numPr>
          <w:ilvl w:val="0"/>
          <w:numId w:val="1"/>
        </w:numPr>
      </w:pPr>
      <w:r w:rsidRPr="00440328">
        <w:t>Implement Infrastructure as Code (IaC) with Agnostic Tools</w:t>
      </w:r>
    </w:p>
    <w:p w14:paraId="2E6624D4" w14:textId="31A3404B" w:rsidR="00DA3880" w:rsidRDefault="58EBA42C" w:rsidP="6F3AAE03">
      <w:pPr>
        <w:pStyle w:val="ListParagraph"/>
        <w:numPr>
          <w:ilvl w:val="1"/>
          <w:numId w:val="1"/>
        </w:numPr>
      </w:pPr>
      <w:r>
        <w:t>Use IaC tools that support multiple cloud environments, such as Terraform, Ansible, or Pulumi. These tools allow you to define and manage infrastructure in a provider-agnostic way, making it easier to migrate or replicate environments across different clouds.</w:t>
      </w:r>
    </w:p>
    <w:p w14:paraId="6B3EA52F" w14:textId="77777777" w:rsidR="00242BFF" w:rsidRDefault="00242BFF" w:rsidP="00242BFF">
      <w:pPr>
        <w:pStyle w:val="ListParagraph"/>
        <w:ind w:left="1440"/>
      </w:pPr>
    </w:p>
    <w:p w14:paraId="4811B675" w14:textId="3F8F65AB" w:rsidR="00DA3880" w:rsidRDefault="58EBA42C" w:rsidP="6F3AAE03">
      <w:pPr>
        <w:pStyle w:val="ListParagraph"/>
        <w:numPr>
          <w:ilvl w:val="0"/>
          <w:numId w:val="1"/>
        </w:numPr>
      </w:pPr>
      <w:r>
        <w:t>Design for Cloud Portability</w:t>
      </w:r>
    </w:p>
    <w:p w14:paraId="2BEE8F66" w14:textId="2927992D" w:rsidR="00DA3880" w:rsidRDefault="58EBA42C" w:rsidP="6F3AAE03">
      <w:pPr>
        <w:pStyle w:val="ListParagraph"/>
        <w:numPr>
          <w:ilvl w:val="1"/>
          <w:numId w:val="1"/>
        </w:numPr>
      </w:pPr>
      <w:r>
        <w:t>Develop applications with a cloud-agnostic architecture, avoiding deep integration with cloud-specific services and APIs that are difficult to migrate.</w:t>
      </w:r>
    </w:p>
    <w:p w14:paraId="166912A8" w14:textId="3B6582B6" w:rsidR="00DA3880" w:rsidRDefault="58EBA42C" w:rsidP="6F3AAE03">
      <w:pPr>
        <w:pStyle w:val="ListParagraph"/>
        <w:numPr>
          <w:ilvl w:val="1"/>
          <w:numId w:val="1"/>
        </w:numPr>
      </w:pPr>
      <w:r>
        <w:t>Consider using containerization and microservices, which make it easier to move applications between different cloud providers or environments.</w:t>
      </w:r>
    </w:p>
    <w:p w14:paraId="6367E275" w14:textId="77777777" w:rsidR="00242BFF" w:rsidRDefault="00242BFF" w:rsidP="00242BFF">
      <w:pPr>
        <w:pStyle w:val="ListParagraph"/>
        <w:ind w:left="1440"/>
      </w:pPr>
    </w:p>
    <w:p w14:paraId="33046DF5" w14:textId="4945E273" w:rsidR="00DA3880" w:rsidRDefault="58EBA42C" w:rsidP="6F3AAE03">
      <w:pPr>
        <w:pStyle w:val="ListParagraph"/>
        <w:numPr>
          <w:ilvl w:val="0"/>
          <w:numId w:val="1"/>
        </w:numPr>
      </w:pPr>
      <w:r>
        <w:lastRenderedPageBreak/>
        <w:t>Use Data and Application Abstraction Layers</w:t>
      </w:r>
    </w:p>
    <w:p w14:paraId="74173ECB" w14:textId="51C64B31" w:rsidR="00DA3880" w:rsidRDefault="58EBA42C" w:rsidP="6F3AAE03">
      <w:pPr>
        <w:pStyle w:val="ListParagraph"/>
        <w:numPr>
          <w:ilvl w:val="1"/>
          <w:numId w:val="1"/>
        </w:numPr>
      </w:pPr>
      <w:r>
        <w:t>Implement abstraction layers that separate applications and data from the underlying cloud infrastructure. This can involve using middleware, APIs, or orchestration tools that facilitate interoperability and reduce dependence on specific cloud services.</w:t>
      </w:r>
    </w:p>
    <w:p w14:paraId="73F2F946" w14:textId="4B29EC44" w:rsidR="00DA3880" w:rsidRDefault="58EBA42C" w:rsidP="6F3AAE03">
      <w:pPr>
        <w:pStyle w:val="ListParagraph"/>
        <w:numPr>
          <w:ilvl w:val="1"/>
          <w:numId w:val="1"/>
        </w:numPr>
      </w:pPr>
      <w:r>
        <w:t>Ensure data is stored in formats that are easily exportable and not tied to a specific cloud provider's proprietary formats or systems.</w:t>
      </w:r>
    </w:p>
    <w:p w14:paraId="06D4C13C" w14:textId="77777777" w:rsidR="00242BFF" w:rsidRDefault="00242BFF" w:rsidP="00242BFF">
      <w:pPr>
        <w:pStyle w:val="ListParagraph"/>
        <w:ind w:left="1440"/>
      </w:pPr>
    </w:p>
    <w:p w14:paraId="67809CB9" w14:textId="77777777" w:rsidR="00F51BA1" w:rsidRDefault="00F51BA1" w:rsidP="00242BFF">
      <w:pPr>
        <w:pStyle w:val="ListParagraph"/>
        <w:ind w:left="1440"/>
      </w:pPr>
    </w:p>
    <w:p w14:paraId="0D9538F5" w14:textId="77777777" w:rsidR="00F51BA1" w:rsidRDefault="00F51BA1" w:rsidP="00242BFF">
      <w:pPr>
        <w:pStyle w:val="ListParagraph"/>
        <w:ind w:left="1440"/>
      </w:pPr>
    </w:p>
    <w:p w14:paraId="6669D3B0" w14:textId="77777777" w:rsidR="00F51BA1" w:rsidRDefault="00F51BA1" w:rsidP="00242BFF">
      <w:pPr>
        <w:pStyle w:val="ListParagraph"/>
        <w:ind w:left="1440"/>
      </w:pPr>
    </w:p>
    <w:p w14:paraId="168BA74B" w14:textId="77777777" w:rsidR="00F51BA1" w:rsidRDefault="00F51BA1" w:rsidP="00242BFF">
      <w:pPr>
        <w:pStyle w:val="ListParagraph"/>
        <w:ind w:left="1440"/>
      </w:pPr>
    </w:p>
    <w:p w14:paraId="6537829A" w14:textId="45D72693" w:rsidR="00DA3880" w:rsidRDefault="58EBA42C" w:rsidP="6F3AAE03">
      <w:pPr>
        <w:pStyle w:val="ListParagraph"/>
        <w:numPr>
          <w:ilvl w:val="0"/>
          <w:numId w:val="1"/>
        </w:numPr>
      </w:pPr>
      <w:r>
        <w:t>Regularly Review Contracts and SLAs</w:t>
      </w:r>
    </w:p>
    <w:p w14:paraId="61C81CC4" w14:textId="4615753D" w:rsidR="00DA3880" w:rsidRDefault="58EBA42C" w:rsidP="6F3AAE03">
      <w:pPr>
        <w:pStyle w:val="ListParagraph"/>
        <w:numPr>
          <w:ilvl w:val="1"/>
          <w:numId w:val="1"/>
        </w:numPr>
      </w:pPr>
      <w:r>
        <w:t>Negotiate favorable terms with cloud providers that minimize exit costs and provide clarity on data migration support, data deletion guarantees, and compliance.</w:t>
      </w:r>
    </w:p>
    <w:p w14:paraId="1117C274" w14:textId="6FB772A6" w:rsidR="00DA3880" w:rsidRDefault="58EBA42C" w:rsidP="6F3AAE03">
      <w:pPr>
        <w:pStyle w:val="ListParagraph"/>
        <w:numPr>
          <w:ilvl w:val="1"/>
          <w:numId w:val="1"/>
        </w:numPr>
      </w:pPr>
      <w:r>
        <w:t>Review contracts and SLAs to ensure they do not have restrictive clauses that could hinder migration or incur significant penalties for early termination.</w:t>
      </w:r>
    </w:p>
    <w:p w14:paraId="58F770C7" w14:textId="77777777" w:rsidR="00242BFF" w:rsidRDefault="00242BFF" w:rsidP="00242BFF">
      <w:pPr>
        <w:pStyle w:val="ListParagraph"/>
        <w:ind w:left="1440"/>
      </w:pPr>
    </w:p>
    <w:p w14:paraId="21B46858" w14:textId="7D07F59F" w:rsidR="00DA3880" w:rsidRDefault="58EBA42C" w:rsidP="6F3AAE03">
      <w:pPr>
        <w:pStyle w:val="ListParagraph"/>
        <w:numPr>
          <w:ilvl w:val="0"/>
          <w:numId w:val="1"/>
        </w:numPr>
      </w:pPr>
      <w:r>
        <w:t>Ensure Data Portability</w:t>
      </w:r>
    </w:p>
    <w:p w14:paraId="764EA429" w14:textId="050E1F05" w:rsidR="00DA3880" w:rsidRDefault="58EBA42C" w:rsidP="6F3AAE03">
      <w:pPr>
        <w:pStyle w:val="ListParagraph"/>
        <w:numPr>
          <w:ilvl w:val="1"/>
          <w:numId w:val="1"/>
        </w:numPr>
      </w:pPr>
      <w:r>
        <w:t>Implement data portability practices by storing data in portable, standardized formats (e.g., CSV, JSON, Parquet) that can be easily transferred between different cloud environments.</w:t>
      </w:r>
    </w:p>
    <w:p w14:paraId="3E80FAF9" w14:textId="4E60FAF5" w:rsidR="00DA3880" w:rsidRDefault="58EBA42C" w:rsidP="6F3AAE03">
      <w:pPr>
        <w:pStyle w:val="ListParagraph"/>
        <w:numPr>
          <w:ilvl w:val="1"/>
          <w:numId w:val="1"/>
        </w:numPr>
      </w:pPr>
      <w:r>
        <w:t>Regularly perform data export tests to verify that data can be extracted and imported without significant loss, corruption, or downtime.</w:t>
      </w:r>
    </w:p>
    <w:p w14:paraId="3890079F" w14:textId="77777777" w:rsidR="00242BFF" w:rsidRDefault="00242BFF" w:rsidP="00242BFF">
      <w:pPr>
        <w:pStyle w:val="ListParagraph"/>
        <w:ind w:left="1440"/>
      </w:pPr>
    </w:p>
    <w:p w14:paraId="3D50FE1C" w14:textId="7B66F877" w:rsidR="00DA3880" w:rsidRDefault="58EBA42C" w:rsidP="6F3AAE03">
      <w:pPr>
        <w:pStyle w:val="ListParagraph"/>
        <w:numPr>
          <w:ilvl w:val="0"/>
          <w:numId w:val="1"/>
        </w:numPr>
      </w:pPr>
      <w:r>
        <w:t>Avoid Proprietary Tools and Services</w:t>
      </w:r>
    </w:p>
    <w:p w14:paraId="4D489109" w14:textId="65F430CF" w:rsidR="00DA3880" w:rsidRDefault="58EBA42C" w:rsidP="6F3AAE03">
      <w:pPr>
        <w:pStyle w:val="ListParagraph"/>
        <w:numPr>
          <w:ilvl w:val="1"/>
          <w:numId w:val="1"/>
        </w:numPr>
      </w:pPr>
      <w:r>
        <w:t>Minimize reliance on cloud-specific tools, services, and APIs that are not available or supported by other providers. Instead, use open-source or third-party solutions that work across different platforms.</w:t>
      </w:r>
    </w:p>
    <w:p w14:paraId="3351BDB7" w14:textId="473C49E1" w:rsidR="00DA3880" w:rsidRDefault="58EBA42C" w:rsidP="6F3AAE03">
      <w:pPr>
        <w:pStyle w:val="ListParagraph"/>
        <w:numPr>
          <w:ilvl w:val="1"/>
          <w:numId w:val="1"/>
        </w:numPr>
      </w:pPr>
      <w:r>
        <w:t>Where possible, leverage cloud-native services that offer compatibility with multiple cloud providers or have open-source alternatives.</w:t>
      </w:r>
    </w:p>
    <w:p w14:paraId="08A6A6EF" w14:textId="77777777" w:rsidR="00242BFF" w:rsidRDefault="00242BFF" w:rsidP="00242BFF">
      <w:pPr>
        <w:pStyle w:val="ListParagraph"/>
        <w:ind w:left="1440"/>
      </w:pPr>
    </w:p>
    <w:p w14:paraId="7781F545" w14:textId="108EBEDA" w:rsidR="00DA3880" w:rsidRDefault="58EBA42C" w:rsidP="6F3AAE03">
      <w:pPr>
        <w:pStyle w:val="ListParagraph"/>
        <w:numPr>
          <w:ilvl w:val="0"/>
          <w:numId w:val="1"/>
        </w:numPr>
      </w:pPr>
      <w:r>
        <w:t>Plan for Exit and Migration from the Start</w:t>
      </w:r>
    </w:p>
    <w:p w14:paraId="5B6878FA" w14:textId="6FEBA2BD" w:rsidR="00DA3880" w:rsidRDefault="58EBA42C" w:rsidP="6F3AAE03">
      <w:pPr>
        <w:pStyle w:val="ListParagraph"/>
        <w:numPr>
          <w:ilvl w:val="1"/>
          <w:numId w:val="1"/>
        </w:numPr>
      </w:pPr>
      <w:r>
        <w:t>Develop a cloud exit strategy as part of the initial cloud adoption plan. This strategy should outline the process, tools, and resources needed to migrate workloads, data, and applications to another cloud provider or back to an on-premises environment.</w:t>
      </w:r>
    </w:p>
    <w:p w14:paraId="61B6AD27" w14:textId="26DF463B" w:rsidR="761A3D51" w:rsidRDefault="58EBA42C" w:rsidP="00242BFF">
      <w:pPr>
        <w:pStyle w:val="ListParagraph"/>
        <w:numPr>
          <w:ilvl w:val="1"/>
          <w:numId w:val="1"/>
        </w:numPr>
      </w:pPr>
      <w:r>
        <w:t>Conduct regular testing of the exit strategy to identify potential challenges and refine the process.</w:t>
      </w:r>
      <w:r w:rsidR="2CCD2E2D">
        <w:t xml:space="preserve"> (It should be noted, that this sounds similar to Backup/Restore procedures. Regulated companies should be periodically verifying </w:t>
      </w:r>
      <w:r w:rsidR="6AF87739">
        <w:t xml:space="preserve">these procedures over time to ensure that incremental functionality, software upgrades, etc. </w:t>
      </w:r>
      <w:r w:rsidR="2B91D497">
        <w:t>Have not introduced a fault into this process. The Exit Strategy should be viewed similarly.</w:t>
      </w:r>
    </w:p>
    <w:p w14:paraId="1B826EA5" w14:textId="77777777" w:rsidR="00242BFF" w:rsidRDefault="00242BFF" w:rsidP="00242BFF">
      <w:pPr>
        <w:pStyle w:val="ListParagraph"/>
        <w:ind w:left="1440"/>
      </w:pPr>
    </w:p>
    <w:p w14:paraId="034BEEC6" w14:textId="1C3C79F2" w:rsidR="00DA3880" w:rsidRDefault="58EBA42C" w:rsidP="6F3AAE03">
      <w:pPr>
        <w:pStyle w:val="ListParagraph"/>
        <w:numPr>
          <w:ilvl w:val="0"/>
          <w:numId w:val="1"/>
        </w:numPr>
      </w:pPr>
      <w:r>
        <w:t>Consider Cloud Management Platforms (CMPs)</w:t>
      </w:r>
    </w:p>
    <w:p w14:paraId="2C28E45E" w14:textId="4F161E67" w:rsidR="00DA3880" w:rsidRDefault="58EBA42C" w:rsidP="6F3AAE03">
      <w:pPr>
        <w:pStyle w:val="ListParagraph"/>
        <w:numPr>
          <w:ilvl w:val="1"/>
          <w:numId w:val="1"/>
        </w:numPr>
      </w:pPr>
      <w:r>
        <w:lastRenderedPageBreak/>
        <w:t>Use cloud management platforms that provide a single pane of glass to manage multiple cloud environments, offering automation, monitoring, governance, and orchestration capabilities across different CSPs.</w:t>
      </w:r>
    </w:p>
    <w:p w14:paraId="18D32AB2" w14:textId="4AE617BE" w:rsidR="00DA3880" w:rsidRDefault="58EBA42C" w:rsidP="6F3AAE03">
      <w:pPr>
        <w:pStyle w:val="Heading3"/>
      </w:pPr>
      <w:bookmarkStart w:id="19" w:name="_Toc206345382"/>
      <w:r>
        <w:t>Benefits of Vendor Lock-In Prevention</w:t>
      </w:r>
      <w:bookmarkEnd w:id="19"/>
    </w:p>
    <w:p w14:paraId="3D2614E7" w14:textId="37B6266F" w:rsidR="00DA3880" w:rsidRDefault="58EBA42C" w:rsidP="6F3AAE03">
      <w:r>
        <w:t>Flexibility and Agility: Organizations can adapt more easily to changing business needs, technological advances, or cost considerations.</w:t>
      </w:r>
    </w:p>
    <w:p w14:paraId="0B496D1A" w14:textId="15E8169D" w:rsidR="00DA3880" w:rsidRDefault="58EBA42C" w:rsidP="6F3AAE03">
      <w:r>
        <w:t>Cost Management: Avoiding dependency on a single provider can help organizations negotiate better pricing and avoid excessive costs associated with lock-in.</w:t>
      </w:r>
    </w:p>
    <w:p w14:paraId="1BC1D76C" w14:textId="37B944CD" w:rsidR="00DA3880" w:rsidRDefault="58EBA42C" w:rsidP="6F3AAE03">
      <w:r>
        <w:t>Reduced Risk: Mitigates risks associated with service outages, changes in vendor policies, security vulnerabilities, or compliance issues with a single cloud provider.</w:t>
      </w:r>
    </w:p>
    <w:p w14:paraId="7086BFC2" w14:textId="0BDA2E96" w:rsidR="00DA3880" w:rsidRDefault="58EBA42C" w:rsidP="6F3AAE03">
      <w:r>
        <w:t>Improved Negotiation Leverage: Having the ability to switch providers gives organizations leverage to negotiate better terms and SLAs.</w:t>
      </w:r>
    </w:p>
    <w:p w14:paraId="4EF99D6C" w14:textId="21504796" w:rsidR="00DA3880" w:rsidRDefault="58EBA42C" w:rsidP="6F3AAE03">
      <w:r>
        <w:t>By implementing these strategies, organizations can maintain flexibility, optimize costs, and reduce the risks associated with vendor lock-in in cloud environments.</w:t>
      </w:r>
    </w:p>
    <w:p w14:paraId="18D55900" w14:textId="64E1AE8B" w:rsidR="00DA3880" w:rsidRPr="00DA3880" w:rsidRDefault="00DA3880" w:rsidP="00DA3880">
      <w:pPr>
        <w:pStyle w:val="Heading2"/>
      </w:pPr>
      <w:bookmarkStart w:id="20" w:name="_Toc206345383"/>
      <w:r>
        <w:t>Risk Management</w:t>
      </w:r>
      <w:bookmarkEnd w:id="20"/>
    </w:p>
    <w:p w14:paraId="0B7F8F7D" w14:textId="77777777" w:rsidR="00D54BBF" w:rsidRPr="00D54BBF" w:rsidRDefault="00D54BBF" w:rsidP="00D54BBF">
      <w:r w:rsidRPr="00D54BBF">
        <w:t>Risk management is a crucial component of an exit strategy for cloud solutions, ensuring that organizations can transition from one provider to another without jeopardizing data security, business continuity, compliance, or operational efficiency. A well-defined risk management framework helps organizations identify, assess, mitigate, and monitor risks associated with cloud service exit strategies.</w:t>
      </w:r>
    </w:p>
    <w:p w14:paraId="37B07884" w14:textId="77777777" w:rsidR="00D54BBF" w:rsidRPr="00D54BBF" w:rsidRDefault="00D54BBF" w:rsidP="00AC504B">
      <w:pPr>
        <w:pStyle w:val="Heading3"/>
      </w:pPr>
      <w:bookmarkStart w:id="21" w:name="_Toc206345384"/>
      <w:r w:rsidRPr="00D54BBF">
        <w:lastRenderedPageBreak/>
        <w:t>Identifying Risks in Cloud Exit Strategies</w:t>
      </w:r>
      <w:bookmarkEnd w:id="21"/>
    </w:p>
    <w:tbl>
      <w:tblPr>
        <w:tblStyle w:val="TableGrid"/>
        <w:tblW w:w="0" w:type="auto"/>
        <w:tblLook w:val="04A0" w:firstRow="1" w:lastRow="0" w:firstColumn="1" w:lastColumn="0" w:noHBand="0" w:noVBand="1"/>
      </w:tblPr>
      <w:tblGrid>
        <w:gridCol w:w="3681"/>
        <w:gridCol w:w="5329"/>
      </w:tblGrid>
      <w:tr w:rsidR="00D54BBF" w:rsidRPr="00D54BBF" w14:paraId="19889A4D" w14:textId="77777777" w:rsidTr="00AC504B">
        <w:trPr>
          <w:tblHeader/>
        </w:trPr>
        <w:tc>
          <w:tcPr>
            <w:tcW w:w="3681" w:type="dxa"/>
            <w:shd w:val="clear" w:color="auto" w:fill="D9D9D9" w:themeFill="background1" w:themeFillShade="D9"/>
          </w:tcPr>
          <w:p w14:paraId="1FA9ADB5" w14:textId="2E089942" w:rsidR="00D54BBF" w:rsidRPr="00AC504B" w:rsidRDefault="00D54BBF" w:rsidP="00D54BBF">
            <w:pPr>
              <w:rPr>
                <w:lang w:val="da-DK"/>
              </w:rPr>
            </w:pPr>
            <w:r w:rsidRPr="00AC504B">
              <w:rPr>
                <w:lang w:val="da-DK"/>
              </w:rPr>
              <w:t>Risk</w:t>
            </w:r>
            <w:r>
              <w:rPr>
                <w:lang w:val="da-DK"/>
              </w:rPr>
              <w:t xml:space="preserve"> area</w:t>
            </w:r>
          </w:p>
        </w:tc>
        <w:tc>
          <w:tcPr>
            <w:tcW w:w="5329" w:type="dxa"/>
            <w:shd w:val="clear" w:color="auto" w:fill="D9D9D9" w:themeFill="background1" w:themeFillShade="D9"/>
          </w:tcPr>
          <w:p w14:paraId="4B79C508" w14:textId="65430FF2" w:rsidR="00D54BBF" w:rsidRPr="00AC504B" w:rsidRDefault="00D54BBF" w:rsidP="00D54BBF">
            <w:pPr>
              <w:rPr>
                <w:lang w:val="da-DK"/>
              </w:rPr>
            </w:pPr>
            <w:r>
              <w:rPr>
                <w:lang w:val="da-DK"/>
              </w:rPr>
              <w:t>Potential Hazard</w:t>
            </w:r>
          </w:p>
        </w:tc>
      </w:tr>
      <w:tr w:rsidR="00D54BBF" w:rsidRPr="00D54BBF" w14:paraId="71CC1F00" w14:textId="77777777" w:rsidTr="00AC504B">
        <w:trPr>
          <w:tblHeader/>
        </w:trPr>
        <w:tc>
          <w:tcPr>
            <w:tcW w:w="3681" w:type="dxa"/>
          </w:tcPr>
          <w:p w14:paraId="28944002" w14:textId="28A40A23" w:rsidR="00D54BBF" w:rsidRPr="00AC504B" w:rsidRDefault="00D54BBF" w:rsidP="00D54BBF">
            <w:pPr>
              <w:rPr>
                <w:lang w:val="da-DK"/>
              </w:rPr>
            </w:pPr>
            <w:r w:rsidRPr="00D54BBF">
              <w:rPr>
                <w:lang w:val="da-DK"/>
              </w:rPr>
              <w:t>Data Loss or Corruption</w:t>
            </w:r>
          </w:p>
        </w:tc>
        <w:tc>
          <w:tcPr>
            <w:tcW w:w="5329" w:type="dxa"/>
          </w:tcPr>
          <w:p w14:paraId="77740764" w14:textId="61829073" w:rsidR="00D54BBF" w:rsidRDefault="00D54BBF" w:rsidP="00D54BBF">
            <w:r>
              <w:t>When transitioning away from a cloud provider, there is a risk of losing critical business data or experiencing data corruption.</w:t>
            </w:r>
          </w:p>
          <w:p w14:paraId="442C1BF6" w14:textId="77777777" w:rsidR="00D54BBF" w:rsidRDefault="00D54BBF" w:rsidP="00D54BBF"/>
          <w:p w14:paraId="5A6863DE" w14:textId="27ACF169" w:rsidR="00D54BBF" w:rsidRPr="00AC504B" w:rsidRDefault="00D54BBF" w:rsidP="00D54BBF">
            <w:r>
              <w:t>Incomplete or improperly formatted data migration can lead to discrepancies in business records.</w:t>
            </w:r>
          </w:p>
        </w:tc>
      </w:tr>
      <w:tr w:rsidR="00D54BBF" w:rsidRPr="00D54BBF" w14:paraId="34D8F8AA" w14:textId="77777777" w:rsidTr="00AC504B">
        <w:trPr>
          <w:tblHeader/>
        </w:trPr>
        <w:tc>
          <w:tcPr>
            <w:tcW w:w="3681" w:type="dxa"/>
          </w:tcPr>
          <w:p w14:paraId="3ECE3DA8" w14:textId="58927FE8" w:rsidR="00D54BBF" w:rsidRPr="00AC504B" w:rsidRDefault="00D54BBF" w:rsidP="00D54BBF">
            <w:r w:rsidRPr="00D54BBF">
              <w:t>Security Breaches and Data Leakage</w:t>
            </w:r>
          </w:p>
        </w:tc>
        <w:tc>
          <w:tcPr>
            <w:tcW w:w="5329" w:type="dxa"/>
          </w:tcPr>
          <w:p w14:paraId="0C62C477" w14:textId="587D731F" w:rsidR="00D54BBF" w:rsidRDefault="00D54BBF" w:rsidP="00D54BBF">
            <w:r>
              <w:t>Transferring sensitive data between providers increases exposure to cyber threats.</w:t>
            </w:r>
          </w:p>
          <w:p w14:paraId="62AB7FE9" w14:textId="77777777" w:rsidR="00D54BBF" w:rsidRDefault="00D54BBF" w:rsidP="00D54BBF"/>
          <w:p w14:paraId="09203D36" w14:textId="3A89D301" w:rsidR="00D54BBF" w:rsidRPr="00AC504B" w:rsidRDefault="00D54BBF" w:rsidP="00D54BBF">
            <w:r>
              <w:t>Insufficient encryption or inadequate access control can result in unauthorized access to data during migration.</w:t>
            </w:r>
          </w:p>
        </w:tc>
      </w:tr>
      <w:tr w:rsidR="00D54BBF" w:rsidRPr="00D54BBF" w14:paraId="7613DC70" w14:textId="77777777" w:rsidTr="00AC504B">
        <w:trPr>
          <w:tblHeader/>
        </w:trPr>
        <w:tc>
          <w:tcPr>
            <w:tcW w:w="3681" w:type="dxa"/>
          </w:tcPr>
          <w:p w14:paraId="02C86681" w14:textId="07866AC9" w:rsidR="00D54BBF" w:rsidRPr="00AC504B" w:rsidRDefault="00D54BBF" w:rsidP="00D54BBF">
            <w:r w:rsidRPr="00D54BBF">
              <w:t>Business Disruption and Downtime</w:t>
            </w:r>
          </w:p>
        </w:tc>
        <w:tc>
          <w:tcPr>
            <w:tcW w:w="5329" w:type="dxa"/>
          </w:tcPr>
          <w:p w14:paraId="25CB62D3" w14:textId="47B24163" w:rsidR="00D54BBF" w:rsidRDefault="00D54BBF" w:rsidP="00D54BBF">
            <w:r>
              <w:t>An unplanned or poorly managed exit can lead to significant downtime, affecting business operations and customer experience.</w:t>
            </w:r>
          </w:p>
          <w:p w14:paraId="1E4BB024" w14:textId="77777777" w:rsidR="00D54BBF" w:rsidRDefault="00D54BBF" w:rsidP="00D54BBF"/>
          <w:p w14:paraId="5D11270C" w14:textId="1A007315" w:rsidR="00D54BBF" w:rsidRPr="00AC504B" w:rsidRDefault="00D54BBF" w:rsidP="00D54BBF">
            <w:r>
              <w:t>Dependencies on cloud-native services may complicate migration and cause delays.</w:t>
            </w:r>
          </w:p>
        </w:tc>
      </w:tr>
      <w:tr w:rsidR="00D54BBF" w:rsidRPr="00D54BBF" w14:paraId="1E340465" w14:textId="77777777" w:rsidTr="00AC504B">
        <w:trPr>
          <w:tblHeader/>
        </w:trPr>
        <w:tc>
          <w:tcPr>
            <w:tcW w:w="3681" w:type="dxa"/>
          </w:tcPr>
          <w:p w14:paraId="72FCA6CD" w14:textId="4ECB152E" w:rsidR="00D54BBF" w:rsidRPr="00AC504B" w:rsidRDefault="00D54BBF" w:rsidP="00D54BBF">
            <w:r w:rsidRPr="00D54BBF">
              <w:t>Vendor Dependency and Lock-in Risks</w:t>
            </w:r>
          </w:p>
        </w:tc>
        <w:tc>
          <w:tcPr>
            <w:tcW w:w="5329" w:type="dxa"/>
          </w:tcPr>
          <w:p w14:paraId="0662E951" w14:textId="14A20DC7" w:rsidR="00D54BBF" w:rsidRDefault="00D54BBF" w:rsidP="00D54BBF">
            <w:r>
              <w:t>Proprietary software, APIs, or data formats may prevent seamless migration.</w:t>
            </w:r>
          </w:p>
          <w:p w14:paraId="4DF3BF44" w14:textId="77777777" w:rsidR="00D54BBF" w:rsidRDefault="00D54BBF" w:rsidP="00D54BBF"/>
          <w:p w14:paraId="6197F8E3" w14:textId="7252B189" w:rsidR="00D54BBF" w:rsidRPr="00AC504B" w:rsidRDefault="00D54BBF" w:rsidP="00D54BBF">
            <w:r>
              <w:t>Limited interoperability between cloud providers can hinder smooth transitions.</w:t>
            </w:r>
          </w:p>
        </w:tc>
      </w:tr>
      <w:tr w:rsidR="00D54BBF" w:rsidRPr="00D54BBF" w14:paraId="1BF2E13F" w14:textId="77777777" w:rsidTr="00AC504B">
        <w:trPr>
          <w:tblHeader/>
        </w:trPr>
        <w:tc>
          <w:tcPr>
            <w:tcW w:w="3681" w:type="dxa"/>
          </w:tcPr>
          <w:p w14:paraId="4C9947B2" w14:textId="6C0646F0" w:rsidR="00D54BBF" w:rsidRPr="00AC504B" w:rsidRDefault="00D54BBF" w:rsidP="00D54BBF">
            <w:r w:rsidRPr="00D54BBF">
              <w:t>Regulatory and Compliance Issues</w:t>
            </w:r>
          </w:p>
        </w:tc>
        <w:tc>
          <w:tcPr>
            <w:tcW w:w="5329" w:type="dxa"/>
          </w:tcPr>
          <w:p w14:paraId="31E84897" w14:textId="53C3DE82" w:rsidR="00D54BBF" w:rsidRDefault="00D54BBF" w:rsidP="00D54BBF">
            <w:r>
              <w:t>Data sovereignty laws and industry-specific compliance regulations may restrict data transfer to certain locations or providers.</w:t>
            </w:r>
          </w:p>
          <w:p w14:paraId="6D8A8BB2" w14:textId="77777777" w:rsidR="00D54BBF" w:rsidRDefault="00D54BBF" w:rsidP="00D54BBF"/>
          <w:p w14:paraId="2F604990" w14:textId="4429919C" w:rsidR="00D54BBF" w:rsidRPr="00AC504B" w:rsidRDefault="00D54BBF" w:rsidP="00D54BBF">
            <w:r>
              <w:t xml:space="preserve">Inadequate record-keeping and </w:t>
            </w:r>
            <w:r w:rsidR="00C07571">
              <w:t>lack of</w:t>
            </w:r>
            <w:r w:rsidR="002A4844">
              <w:t xml:space="preserve"> </w:t>
            </w:r>
            <w:r>
              <w:t>audit trails can lead to non-compliance risks.</w:t>
            </w:r>
          </w:p>
        </w:tc>
      </w:tr>
    </w:tbl>
    <w:p w14:paraId="5E9EC2BB" w14:textId="77777777" w:rsidR="00D54BBF" w:rsidRDefault="00D54BBF" w:rsidP="00D54BBF">
      <w:pPr>
        <w:rPr>
          <w:b/>
          <w:bCs/>
        </w:rPr>
      </w:pPr>
    </w:p>
    <w:p w14:paraId="156640E4" w14:textId="236A4E3A" w:rsidR="007114D8" w:rsidRPr="00AC504B" w:rsidRDefault="007114D8" w:rsidP="00D54BBF">
      <w:pPr>
        <w:rPr>
          <w:b/>
          <w:bCs/>
        </w:rPr>
      </w:pPr>
      <w:r w:rsidRPr="007114D8">
        <w:rPr>
          <w:b/>
          <w:bCs/>
        </w:rPr>
        <w:t>Historical data and associated reports. Reports used to make quality decisions are expected to be maintained, have the ability to be run against the historical data. If exiting, this must also be preserved.</w:t>
      </w:r>
    </w:p>
    <w:p w14:paraId="46BFCC94" w14:textId="77777777" w:rsidR="00A62BFF" w:rsidRPr="00D54BBF" w:rsidRDefault="00A62BFF" w:rsidP="00A62BFF"/>
    <w:p w14:paraId="47181E0F" w14:textId="594E1D82" w:rsidR="00A62BFF" w:rsidRPr="00D54BBF" w:rsidRDefault="00A62BFF" w:rsidP="00A62BFF">
      <w:pPr>
        <w:pStyle w:val="Heading3"/>
      </w:pPr>
      <w:bookmarkStart w:id="22" w:name="_Toc206345385"/>
      <w:r w:rsidRPr="00A62BFF">
        <w:lastRenderedPageBreak/>
        <w:t>Risk Mitigation Strategies</w:t>
      </w:r>
      <w:bookmarkEnd w:id="22"/>
    </w:p>
    <w:tbl>
      <w:tblPr>
        <w:tblStyle w:val="TableGrid"/>
        <w:tblW w:w="0" w:type="auto"/>
        <w:tblLook w:val="04A0" w:firstRow="1" w:lastRow="0" w:firstColumn="1" w:lastColumn="0" w:noHBand="0" w:noVBand="1"/>
      </w:tblPr>
      <w:tblGrid>
        <w:gridCol w:w="3681"/>
        <w:gridCol w:w="5329"/>
      </w:tblGrid>
      <w:tr w:rsidR="00A62BFF" w:rsidRPr="00954611" w14:paraId="3E28D6A0" w14:textId="77777777" w:rsidTr="00AC504B">
        <w:trPr>
          <w:tblHeader/>
        </w:trPr>
        <w:tc>
          <w:tcPr>
            <w:tcW w:w="3681" w:type="dxa"/>
            <w:shd w:val="clear" w:color="auto" w:fill="D9D9D9" w:themeFill="background1" w:themeFillShade="D9"/>
          </w:tcPr>
          <w:p w14:paraId="03460C8E" w14:textId="2C15BCC0" w:rsidR="00A62BFF" w:rsidRPr="00AC504B" w:rsidRDefault="00A62BFF" w:rsidP="00954611">
            <w:bookmarkStart w:id="23" w:name="_Hlk190256464"/>
            <w:r w:rsidRPr="00AC504B">
              <w:t>Mitigation area</w:t>
            </w:r>
          </w:p>
        </w:tc>
        <w:tc>
          <w:tcPr>
            <w:tcW w:w="5329" w:type="dxa"/>
            <w:shd w:val="clear" w:color="auto" w:fill="D9D9D9" w:themeFill="background1" w:themeFillShade="D9"/>
          </w:tcPr>
          <w:p w14:paraId="315C54AA" w14:textId="704131D3" w:rsidR="00A62BFF" w:rsidRPr="00AC504B" w:rsidRDefault="00A62BFF" w:rsidP="00954611">
            <w:r w:rsidRPr="00AC504B">
              <w:t>Examples</w:t>
            </w:r>
          </w:p>
        </w:tc>
      </w:tr>
      <w:tr w:rsidR="00A62BFF" w:rsidRPr="00954611" w14:paraId="102ECA26" w14:textId="77777777" w:rsidTr="00AC504B">
        <w:trPr>
          <w:tblHeader/>
        </w:trPr>
        <w:tc>
          <w:tcPr>
            <w:tcW w:w="3681" w:type="dxa"/>
          </w:tcPr>
          <w:p w14:paraId="3FBE92F0" w14:textId="32E9BEA0" w:rsidR="00A62BFF" w:rsidRPr="00AC504B" w:rsidRDefault="00A62BFF" w:rsidP="00A62BFF">
            <w:r w:rsidRPr="00A62BFF">
              <w:t>Develop a Comprehensive Exit Plan</w:t>
            </w:r>
          </w:p>
        </w:tc>
        <w:tc>
          <w:tcPr>
            <w:tcW w:w="5329" w:type="dxa"/>
          </w:tcPr>
          <w:p w14:paraId="6CE0C441" w14:textId="09FAA3F7" w:rsidR="00A62BFF" w:rsidRDefault="00A62BFF" w:rsidP="00A62BFF">
            <w:r>
              <w:t>Define a step-by-step exit process that includes risk assessments, data migration strategies, and contingency planning.</w:t>
            </w:r>
          </w:p>
          <w:p w14:paraId="4C971E25" w14:textId="77777777" w:rsidR="00A62BFF" w:rsidRDefault="00A62BFF" w:rsidP="00A62BFF"/>
          <w:p w14:paraId="04642010" w14:textId="487211C7" w:rsidR="00A62BFF" w:rsidRPr="00954611" w:rsidRDefault="00A62BFF" w:rsidP="00A62BFF">
            <w:r>
              <w:t>Establish a clear timeline and resource allocation to ensure a smooth transition.</w:t>
            </w:r>
          </w:p>
        </w:tc>
      </w:tr>
      <w:tr w:rsidR="00A62BFF" w:rsidRPr="00954611" w14:paraId="6169783E" w14:textId="77777777" w:rsidTr="00AC504B">
        <w:trPr>
          <w:tblHeader/>
        </w:trPr>
        <w:tc>
          <w:tcPr>
            <w:tcW w:w="3681" w:type="dxa"/>
          </w:tcPr>
          <w:p w14:paraId="6E0DE074" w14:textId="652BC2E3" w:rsidR="00A62BFF" w:rsidRPr="00954611" w:rsidRDefault="00A62BFF" w:rsidP="00954611">
            <w:r w:rsidRPr="00A62BFF">
              <w:t>Perform Data Backups and Integrity Checks</w:t>
            </w:r>
          </w:p>
        </w:tc>
        <w:tc>
          <w:tcPr>
            <w:tcW w:w="5329" w:type="dxa"/>
          </w:tcPr>
          <w:p w14:paraId="61644793" w14:textId="06BDF033" w:rsidR="00A62BFF" w:rsidRDefault="00A62BFF" w:rsidP="00A62BFF">
            <w:r>
              <w:t>Maintain redundant copies of critical data before initiating migration.</w:t>
            </w:r>
          </w:p>
          <w:p w14:paraId="75F29196" w14:textId="77777777" w:rsidR="007D34CB" w:rsidRDefault="007D34CB" w:rsidP="00A62BFF"/>
          <w:p w14:paraId="34A963E1" w14:textId="6CAE4DFB" w:rsidR="00A62BFF" w:rsidRPr="00954611" w:rsidRDefault="00A62BFF" w:rsidP="00A62BFF">
            <w:r>
              <w:t>Conduct integrity verification tests to ensure data consistency and completeness post-migration.</w:t>
            </w:r>
          </w:p>
        </w:tc>
      </w:tr>
      <w:tr w:rsidR="00A62BFF" w:rsidRPr="00954611" w14:paraId="4DDF1C6A" w14:textId="77777777" w:rsidTr="00AC504B">
        <w:trPr>
          <w:tblHeader/>
        </w:trPr>
        <w:tc>
          <w:tcPr>
            <w:tcW w:w="3681" w:type="dxa"/>
          </w:tcPr>
          <w:p w14:paraId="2636C3A2" w14:textId="1494CC70" w:rsidR="00A62BFF" w:rsidRPr="00954611" w:rsidRDefault="00A62BFF" w:rsidP="00954611">
            <w:r w:rsidRPr="00A62BFF">
              <w:t>Implement Security Best Practices</w:t>
            </w:r>
          </w:p>
        </w:tc>
        <w:tc>
          <w:tcPr>
            <w:tcW w:w="5329" w:type="dxa"/>
          </w:tcPr>
          <w:p w14:paraId="6C2092E0" w14:textId="395091B5" w:rsidR="00A62BFF" w:rsidRDefault="00A62BFF" w:rsidP="00A62BFF">
            <w:r>
              <w:t>Use encryption protocols for data in transit and at rest.</w:t>
            </w:r>
          </w:p>
          <w:p w14:paraId="4517B6C9" w14:textId="77777777" w:rsidR="00A62BFF" w:rsidRDefault="00A62BFF" w:rsidP="00A62BFF"/>
          <w:p w14:paraId="34F8F516" w14:textId="47EEAEC8" w:rsidR="00A62BFF" w:rsidRPr="00954611" w:rsidRDefault="00A62BFF" w:rsidP="00A62BFF">
            <w:r>
              <w:t>Establish strict access controls to prevent unauthorized access.</w:t>
            </w:r>
          </w:p>
        </w:tc>
      </w:tr>
      <w:tr w:rsidR="00A62BFF" w:rsidRPr="00954611" w14:paraId="03297880" w14:textId="77777777" w:rsidTr="00AC504B">
        <w:trPr>
          <w:tblHeader/>
        </w:trPr>
        <w:tc>
          <w:tcPr>
            <w:tcW w:w="3681" w:type="dxa"/>
          </w:tcPr>
          <w:p w14:paraId="0351FD08" w14:textId="6F79BDF3" w:rsidR="00A62BFF" w:rsidRPr="00954611" w:rsidRDefault="00A62BFF" w:rsidP="00954611">
            <w:r w:rsidRPr="00A62BFF">
              <w:t>Plan for Business Continuity</w:t>
            </w:r>
          </w:p>
        </w:tc>
        <w:tc>
          <w:tcPr>
            <w:tcW w:w="5329" w:type="dxa"/>
          </w:tcPr>
          <w:p w14:paraId="7D2EF7F7" w14:textId="02A85EFA" w:rsidR="00A62BFF" w:rsidRDefault="00A62BFF" w:rsidP="00A62BFF">
            <w:r>
              <w:t>Maintain alternative service providers or hybrid cloud options to minimize disruptions.</w:t>
            </w:r>
          </w:p>
          <w:p w14:paraId="42B7C530" w14:textId="77777777" w:rsidR="00A62BFF" w:rsidRDefault="00A62BFF" w:rsidP="00A62BFF"/>
          <w:p w14:paraId="1FEDDC4F" w14:textId="1F7DCBE8" w:rsidR="00A62BFF" w:rsidRPr="00954611" w:rsidRDefault="00A62BFF" w:rsidP="00A62BFF">
            <w:r>
              <w:t>Conduct failover and disaster recovery tests regularly.</w:t>
            </w:r>
          </w:p>
        </w:tc>
      </w:tr>
      <w:tr w:rsidR="00A62BFF" w:rsidRPr="00954611" w14:paraId="7FF07F32" w14:textId="77777777" w:rsidTr="00AC504B">
        <w:trPr>
          <w:tblHeader/>
        </w:trPr>
        <w:tc>
          <w:tcPr>
            <w:tcW w:w="3681" w:type="dxa"/>
          </w:tcPr>
          <w:p w14:paraId="69008A02" w14:textId="764CC4D9" w:rsidR="00A62BFF" w:rsidRPr="00954611" w:rsidRDefault="00A62BFF" w:rsidP="00954611">
            <w:r w:rsidRPr="00A62BFF">
              <w:t>Ensure Compliance Readiness</w:t>
            </w:r>
          </w:p>
        </w:tc>
        <w:tc>
          <w:tcPr>
            <w:tcW w:w="5329" w:type="dxa"/>
          </w:tcPr>
          <w:p w14:paraId="332ACDEE" w14:textId="3AC8D626" w:rsidR="00A62BFF" w:rsidRDefault="00A62BFF" w:rsidP="00A62BFF">
            <w:r>
              <w:t>Collaborate with legal and compliance teams to adhere to industry regulations.</w:t>
            </w:r>
          </w:p>
          <w:p w14:paraId="16D782D5" w14:textId="77777777" w:rsidR="00A62BFF" w:rsidRDefault="00A62BFF" w:rsidP="00A62BFF"/>
          <w:p w14:paraId="48C6712C" w14:textId="214616E6" w:rsidR="00A62BFF" w:rsidRPr="00954611" w:rsidRDefault="00A62BFF" w:rsidP="00A62BFF">
            <w:r>
              <w:t>Document all actions taken during the exit process for audit purposes.</w:t>
            </w:r>
          </w:p>
        </w:tc>
      </w:tr>
      <w:bookmarkEnd w:id="23"/>
    </w:tbl>
    <w:p w14:paraId="316B3289" w14:textId="77777777" w:rsidR="00D54BBF" w:rsidRPr="00AC504B" w:rsidRDefault="00D54BBF" w:rsidP="00D54BBF">
      <w:pPr>
        <w:rPr>
          <w:b/>
          <w:bCs/>
        </w:rPr>
      </w:pPr>
    </w:p>
    <w:p w14:paraId="09F68A9C" w14:textId="77777777" w:rsidR="00D54BBF" w:rsidRPr="00D54BBF" w:rsidRDefault="00D54BBF" w:rsidP="00AC504B">
      <w:pPr>
        <w:pStyle w:val="Heading3"/>
      </w:pPr>
      <w:bookmarkStart w:id="24" w:name="_Toc206345386"/>
      <w:r w:rsidRPr="00D54BBF">
        <w:t>Ongoing Risk Monitoring and Review</w:t>
      </w:r>
      <w:bookmarkEnd w:id="24"/>
    </w:p>
    <w:p w14:paraId="523025F6" w14:textId="77777777" w:rsidR="00D54BBF" w:rsidRPr="00D54BBF" w:rsidRDefault="00D54BBF" w:rsidP="00D54BBF">
      <w:r w:rsidRPr="00D54BBF">
        <w:t>Continuous monitoring of cloud service providers and periodic risk assessments help organizations adapt their exit strategies in response to evolving risks and technological advancements.</w:t>
      </w:r>
    </w:p>
    <w:p w14:paraId="58F91489" w14:textId="09C57D9F" w:rsidR="00DA3880" w:rsidRPr="00DA3880" w:rsidRDefault="00DA3880" w:rsidP="00DA3880">
      <w:pPr>
        <w:pStyle w:val="Heading2"/>
      </w:pPr>
      <w:bookmarkStart w:id="25" w:name="_Toc206345387"/>
      <w:r>
        <w:t>Performance and Satisfaction</w:t>
      </w:r>
      <w:bookmarkEnd w:id="25"/>
    </w:p>
    <w:p w14:paraId="105B6D75" w14:textId="771068A2" w:rsidR="00F51BA1" w:rsidRDefault="007D34CB" w:rsidP="00DA3880">
      <w:r w:rsidRPr="007D34CB">
        <w:t>Performance and satisfaction play a critical role in determining when an organization should consider exiting a cloud service provider. Ensuring that cloud services meet business needs, user expectations, and regulatory requirements is fundamental to maintaining operational efficiency.</w:t>
      </w:r>
      <w:r w:rsidR="00A56008">
        <w:t xml:space="preserve"> Consider key metrics as part of any Supplier Management program.</w:t>
      </w:r>
    </w:p>
    <w:p w14:paraId="4B8AFC52" w14:textId="77777777" w:rsidR="00F51BA1" w:rsidRDefault="00F51BA1">
      <w:r>
        <w:br w:type="page"/>
      </w:r>
    </w:p>
    <w:p w14:paraId="71CCD847" w14:textId="77777777" w:rsidR="007D34CB" w:rsidRDefault="007D34CB" w:rsidP="00BA1766">
      <w:pPr>
        <w:pStyle w:val="Heading3"/>
        <w:rPr>
          <w:lang w:eastAsia="da-DK"/>
        </w:rPr>
      </w:pPr>
      <w:bookmarkStart w:id="26" w:name="_Toc206345388"/>
      <w:r w:rsidRPr="00D97B87">
        <w:rPr>
          <w:lang w:eastAsia="da-DK"/>
        </w:rPr>
        <w:lastRenderedPageBreak/>
        <w:t>Key Performance Indicators (KPIs) for Cloud Services</w:t>
      </w:r>
      <w:bookmarkEnd w:id="26"/>
    </w:p>
    <w:p w14:paraId="5A9477CD" w14:textId="77777777" w:rsidR="007D34CB" w:rsidRDefault="007D34CB" w:rsidP="00DA3880"/>
    <w:tbl>
      <w:tblPr>
        <w:tblStyle w:val="TableGrid"/>
        <w:tblW w:w="0" w:type="auto"/>
        <w:tblLook w:val="04A0" w:firstRow="1" w:lastRow="0" w:firstColumn="1" w:lastColumn="0" w:noHBand="0" w:noVBand="1"/>
      </w:tblPr>
      <w:tblGrid>
        <w:gridCol w:w="3681"/>
        <w:gridCol w:w="5329"/>
      </w:tblGrid>
      <w:tr w:rsidR="007D34CB" w:rsidRPr="00954611" w14:paraId="3CDC27C7" w14:textId="77777777" w:rsidTr="00954611">
        <w:tc>
          <w:tcPr>
            <w:tcW w:w="3681" w:type="dxa"/>
            <w:shd w:val="clear" w:color="auto" w:fill="D9D9D9" w:themeFill="background1" w:themeFillShade="D9"/>
          </w:tcPr>
          <w:p w14:paraId="4C300E76" w14:textId="77777777" w:rsidR="007D34CB" w:rsidRPr="00954611" w:rsidRDefault="007D34CB" w:rsidP="00954611">
            <w:pPr>
              <w:rPr>
                <w:lang w:val="da-DK"/>
              </w:rPr>
            </w:pPr>
            <w:r>
              <w:t>KPI</w:t>
            </w:r>
            <w:r>
              <w:rPr>
                <w:lang w:val="da-DK"/>
              </w:rPr>
              <w:t xml:space="preserve"> area</w:t>
            </w:r>
          </w:p>
        </w:tc>
        <w:tc>
          <w:tcPr>
            <w:tcW w:w="5329" w:type="dxa"/>
            <w:shd w:val="clear" w:color="auto" w:fill="D9D9D9" w:themeFill="background1" w:themeFillShade="D9"/>
          </w:tcPr>
          <w:p w14:paraId="6AA7A7C5" w14:textId="77777777" w:rsidR="007D34CB" w:rsidRPr="00954611" w:rsidRDefault="007D34CB" w:rsidP="00954611">
            <w:pPr>
              <w:rPr>
                <w:lang w:val="da-DK"/>
              </w:rPr>
            </w:pPr>
            <w:r>
              <w:t>Examples</w:t>
            </w:r>
          </w:p>
        </w:tc>
      </w:tr>
      <w:tr w:rsidR="007D34CB" w:rsidRPr="00954611" w14:paraId="3F726E40" w14:textId="77777777" w:rsidTr="00954611">
        <w:tc>
          <w:tcPr>
            <w:tcW w:w="3681" w:type="dxa"/>
          </w:tcPr>
          <w:p w14:paraId="64EED6C1" w14:textId="77777777" w:rsidR="007D34CB" w:rsidRPr="00954611" w:rsidRDefault="007D34CB" w:rsidP="00954611">
            <w:r w:rsidRPr="00D97B87">
              <w:t>System Availability and Uptime</w:t>
            </w:r>
          </w:p>
        </w:tc>
        <w:tc>
          <w:tcPr>
            <w:tcW w:w="5329" w:type="dxa"/>
          </w:tcPr>
          <w:p w14:paraId="39B1A5AC" w14:textId="77777777" w:rsidR="007D34CB" w:rsidRPr="00D97B87" w:rsidRDefault="007D34CB" w:rsidP="00954611">
            <w:r w:rsidRPr="00D97B87">
              <w:t>Measured through Service Level Agreements (SLAs).</w:t>
            </w:r>
          </w:p>
          <w:p w14:paraId="6F2D7F1D" w14:textId="77777777" w:rsidR="007D34CB" w:rsidRPr="00954611" w:rsidRDefault="007D34CB" w:rsidP="00954611">
            <w:r w:rsidRPr="00D97B87">
              <w:t>Frequent outages may indicate the need for an exit strategy.</w:t>
            </w:r>
          </w:p>
        </w:tc>
      </w:tr>
      <w:tr w:rsidR="007D34CB" w:rsidRPr="00954611" w14:paraId="64E940C8" w14:textId="77777777" w:rsidTr="00954611">
        <w:tc>
          <w:tcPr>
            <w:tcW w:w="3681" w:type="dxa"/>
          </w:tcPr>
          <w:p w14:paraId="23FC6AB0" w14:textId="77777777" w:rsidR="007D34CB" w:rsidRPr="00954611" w:rsidRDefault="007D34CB" w:rsidP="00954611">
            <w:r w:rsidRPr="00D97B87">
              <w:t>Data Processing Speed and Latency</w:t>
            </w:r>
          </w:p>
        </w:tc>
        <w:tc>
          <w:tcPr>
            <w:tcW w:w="5329" w:type="dxa"/>
          </w:tcPr>
          <w:p w14:paraId="2595A8D2" w14:textId="77777777" w:rsidR="007D34CB" w:rsidRPr="00D97B87" w:rsidRDefault="007D34CB" w:rsidP="00954611">
            <w:r w:rsidRPr="00D97B87">
              <w:t>Evaluate the provider's ability to handle workloads efficiently.</w:t>
            </w:r>
          </w:p>
          <w:p w14:paraId="797A53AE" w14:textId="77777777" w:rsidR="007D34CB" w:rsidRPr="00954611" w:rsidRDefault="007D34CB" w:rsidP="00954611">
            <w:r w:rsidRPr="00D97B87">
              <w:t>Performance bottlenecks can impact business-critical applications.</w:t>
            </w:r>
          </w:p>
        </w:tc>
      </w:tr>
      <w:tr w:rsidR="007D34CB" w:rsidRPr="00954611" w14:paraId="7EE52799" w14:textId="77777777" w:rsidTr="00954611">
        <w:tc>
          <w:tcPr>
            <w:tcW w:w="3681" w:type="dxa"/>
          </w:tcPr>
          <w:p w14:paraId="63671B2F" w14:textId="77777777" w:rsidR="007D34CB" w:rsidRPr="00954611" w:rsidRDefault="007D34CB" w:rsidP="00954611">
            <w:r w:rsidRPr="00A201C3">
              <w:t>Scalability and Resource Allocation</w:t>
            </w:r>
          </w:p>
        </w:tc>
        <w:tc>
          <w:tcPr>
            <w:tcW w:w="5329" w:type="dxa"/>
          </w:tcPr>
          <w:p w14:paraId="058AD4D0" w14:textId="77777777" w:rsidR="007D34CB" w:rsidRPr="00A201C3" w:rsidRDefault="007D34CB" w:rsidP="00954611">
            <w:r w:rsidRPr="00A201C3">
              <w:t>Assess whether the cloud infrastructure can scale as needed.</w:t>
            </w:r>
          </w:p>
          <w:p w14:paraId="3A12D0E8" w14:textId="77777777" w:rsidR="007D34CB" w:rsidRPr="00954611" w:rsidRDefault="007D34CB" w:rsidP="00954611">
            <w:r w:rsidRPr="00A201C3">
              <w:t>Delays in provisioning resources may hinder business growth.</w:t>
            </w:r>
          </w:p>
        </w:tc>
      </w:tr>
      <w:tr w:rsidR="007D34CB" w:rsidRPr="00954611" w14:paraId="57FAA7CB" w14:textId="77777777" w:rsidTr="00954611">
        <w:tc>
          <w:tcPr>
            <w:tcW w:w="3681" w:type="dxa"/>
          </w:tcPr>
          <w:p w14:paraId="382D1830" w14:textId="77777777" w:rsidR="007D34CB" w:rsidRPr="00954611" w:rsidRDefault="007D34CB" w:rsidP="00954611">
            <w:r w:rsidRPr="00A201C3">
              <w:t>Cost Performance Ratio</w:t>
            </w:r>
          </w:p>
        </w:tc>
        <w:tc>
          <w:tcPr>
            <w:tcW w:w="5329" w:type="dxa"/>
          </w:tcPr>
          <w:p w14:paraId="3505A9CD" w14:textId="77777777" w:rsidR="007D34CB" w:rsidRPr="00A201C3" w:rsidRDefault="007D34CB" w:rsidP="00954611">
            <w:r w:rsidRPr="00A201C3">
              <w:t>Compare costs against the quality of services received.</w:t>
            </w:r>
          </w:p>
          <w:p w14:paraId="354FF870" w14:textId="77777777" w:rsidR="007D34CB" w:rsidRPr="00954611" w:rsidRDefault="007D34CB" w:rsidP="00954611">
            <w:r w:rsidRPr="00A201C3">
              <w:t>Unexpected cost surges due to inefficient resource management signal the need for reassessment.</w:t>
            </w:r>
          </w:p>
        </w:tc>
      </w:tr>
    </w:tbl>
    <w:p w14:paraId="3721BEAB" w14:textId="77777777" w:rsidR="007D34CB" w:rsidRDefault="007D34CB" w:rsidP="00DA3880"/>
    <w:p w14:paraId="5ACBD5C1" w14:textId="77777777" w:rsidR="007D34CB" w:rsidRDefault="007D34CB" w:rsidP="00BA1766">
      <w:pPr>
        <w:pStyle w:val="Heading3"/>
        <w:rPr>
          <w:lang w:eastAsia="da-DK"/>
        </w:rPr>
      </w:pPr>
      <w:bookmarkStart w:id="27" w:name="_Toc206345389"/>
      <w:r w:rsidRPr="00D97B87">
        <w:rPr>
          <w:lang w:eastAsia="da-DK"/>
        </w:rPr>
        <w:t>User Satisfaction Metrics</w:t>
      </w:r>
      <w:bookmarkEnd w:id="27"/>
    </w:p>
    <w:p w14:paraId="366F8F21" w14:textId="77777777" w:rsidR="007D34CB" w:rsidRDefault="007D34CB" w:rsidP="00DA3880"/>
    <w:tbl>
      <w:tblPr>
        <w:tblStyle w:val="TableGrid"/>
        <w:tblW w:w="0" w:type="auto"/>
        <w:tblLook w:val="04A0" w:firstRow="1" w:lastRow="0" w:firstColumn="1" w:lastColumn="0" w:noHBand="0" w:noVBand="1"/>
      </w:tblPr>
      <w:tblGrid>
        <w:gridCol w:w="3681"/>
        <w:gridCol w:w="5329"/>
      </w:tblGrid>
      <w:tr w:rsidR="007D34CB" w:rsidRPr="00954611" w14:paraId="79C0067D" w14:textId="77777777" w:rsidTr="00954611">
        <w:tc>
          <w:tcPr>
            <w:tcW w:w="3681" w:type="dxa"/>
            <w:shd w:val="clear" w:color="auto" w:fill="D9D9D9" w:themeFill="background1" w:themeFillShade="D9"/>
          </w:tcPr>
          <w:p w14:paraId="2A4AADFF" w14:textId="77777777" w:rsidR="007D34CB" w:rsidRPr="00954611" w:rsidRDefault="007D34CB" w:rsidP="00954611">
            <w:pPr>
              <w:rPr>
                <w:lang w:val="da-DK"/>
              </w:rPr>
            </w:pPr>
            <w:r w:rsidRPr="00A201C3">
              <w:t xml:space="preserve">Satisfaction </w:t>
            </w:r>
            <w:r>
              <w:rPr>
                <w:lang w:val="da-DK"/>
              </w:rPr>
              <w:t>area</w:t>
            </w:r>
            <w:r>
              <w:t>s</w:t>
            </w:r>
          </w:p>
        </w:tc>
        <w:tc>
          <w:tcPr>
            <w:tcW w:w="5329" w:type="dxa"/>
            <w:shd w:val="clear" w:color="auto" w:fill="D9D9D9" w:themeFill="background1" w:themeFillShade="D9"/>
          </w:tcPr>
          <w:p w14:paraId="0E01E522" w14:textId="77777777" w:rsidR="007D34CB" w:rsidRPr="00954611" w:rsidRDefault="007D34CB" w:rsidP="00954611">
            <w:pPr>
              <w:rPr>
                <w:lang w:val="da-DK"/>
              </w:rPr>
            </w:pPr>
            <w:r>
              <w:t>Examples</w:t>
            </w:r>
          </w:p>
        </w:tc>
      </w:tr>
      <w:tr w:rsidR="007D34CB" w:rsidRPr="00954611" w14:paraId="6E9DF444" w14:textId="77777777" w:rsidTr="00954611">
        <w:tc>
          <w:tcPr>
            <w:tcW w:w="3681" w:type="dxa"/>
          </w:tcPr>
          <w:p w14:paraId="56C5F201" w14:textId="286AE1D0" w:rsidR="007D34CB" w:rsidRPr="00954611" w:rsidRDefault="007D34CB" w:rsidP="00954611">
            <w:r w:rsidRPr="00A201C3">
              <w:t>Customer Support Responsiveness</w:t>
            </w:r>
            <w:r w:rsidR="005B5364">
              <w:t>/SLA</w:t>
            </w:r>
          </w:p>
        </w:tc>
        <w:tc>
          <w:tcPr>
            <w:tcW w:w="5329" w:type="dxa"/>
          </w:tcPr>
          <w:p w14:paraId="02E1EF4D" w14:textId="77777777" w:rsidR="007D34CB" w:rsidRPr="00A201C3" w:rsidRDefault="007D34CB" w:rsidP="00954611">
            <w:r w:rsidRPr="00A201C3">
              <w:t>Measure the provider's ability to resolve issues promptly.</w:t>
            </w:r>
          </w:p>
          <w:p w14:paraId="30A615C5" w14:textId="77777777" w:rsidR="007D34CB" w:rsidRPr="00954611" w:rsidRDefault="007D34CB" w:rsidP="00954611">
            <w:r w:rsidRPr="00A201C3">
              <w:t>Slow response times can affect business operations.</w:t>
            </w:r>
          </w:p>
        </w:tc>
      </w:tr>
      <w:tr w:rsidR="007D34CB" w:rsidRPr="00954611" w14:paraId="337EC9F8" w14:textId="77777777" w:rsidTr="00954611">
        <w:tc>
          <w:tcPr>
            <w:tcW w:w="3681" w:type="dxa"/>
          </w:tcPr>
          <w:p w14:paraId="3CB0D368" w14:textId="77777777" w:rsidR="007D34CB" w:rsidRPr="00954611" w:rsidRDefault="007D34CB" w:rsidP="00954611">
            <w:r w:rsidRPr="00A201C3">
              <w:t>Ease of Use and Management</w:t>
            </w:r>
          </w:p>
        </w:tc>
        <w:tc>
          <w:tcPr>
            <w:tcW w:w="5329" w:type="dxa"/>
          </w:tcPr>
          <w:p w14:paraId="66AB1C9D" w14:textId="77777777" w:rsidR="007D34CB" w:rsidRPr="00A201C3" w:rsidRDefault="007D34CB" w:rsidP="00954611">
            <w:r w:rsidRPr="00A201C3">
              <w:t>Evaluate the complexity of managing cloud resources.</w:t>
            </w:r>
          </w:p>
          <w:p w14:paraId="4D759916" w14:textId="77777777" w:rsidR="007D34CB" w:rsidRPr="00954611" w:rsidRDefault="007D34CB" w:rsidP="00954611">
            <w:r w:rsidRPr="00A201C3">
              <w:t>Complicated interfaces and lack of automation can impact productivity.</w:t>
            </w:r>
          </w:p>
        </w:tc>
      </w:tr>
      <w:tr w:rsidR="007D34CB" w:rsidRPr="00954611" w14:paraId="20007A22" w14:textId="77777777" w:rsidTr="00954611">
        <w:tc>
          <w:tcPr>
            <w:tcW w:w="3681" w:type="dxa"/>
          </w:tcPr>
          <w:p w14:paraId="2216F4EE" w14:textId="77777777" w:rsidR="007D34CB" w:rsidRPr="00954611" w:rsidRDefault="007D34CB" w:rsidP="00954611">
            <w:r w:rsidRPr="00A201C3">
              <w:t>Feedback from Internal Stakeholders</w:t>
            </w:r>
          </w:p>
        </w:tc>
        <w:tc>
          <w:tcPr>
            <w:tcW w:w="5329" w:type="dxa"/>
          </w:tcPr>
          <w:p w14:paraId="65BF0D06" w14:textId="77777777" w:rsidR="007D34CB" w:rsidRPr="00A201C3" w:rsidRDefault="007D34CB" w:rsidP="00954611">
            <w:r w:rsidRPr="00A201C3">
              <w:t>Conduct periodic satisfaction surveys among employees using cloud services.</w:t>
            </w:r>
          </w:p>
          <w:p w14:paraId="6D6392B7" w14:textId="77777777" w:rsidR="007D34CB" w:rsidRPr="00954611" w:rsidRDefault="007D34CB" w:rsidP="00954611">
            <w:r w:rsidRPr="00A201C3">
              <w:t>Gather insights on usability, integration challenges, and overall experience.</w:t>
            </w:r>
          </w:p>
        </w:tc>
      </w:tr>
    </w:tbl>
    <w:p w14:paraId="4BBDCD91" w14:textId="77777777" w:rsidR="00F50FA3" w:rsidRPr="00D97B87" w:rsidRDefault="00F50FA3" w:rsidP="00BA1766">
      <w:pPr>
        <w:pStyle w:val="Heading3"/>
        <w:rPr>
          <w:lang w:eastAsia="da-DK"/>
        </w:rPr>
      </w:pPr>
      <w:bookmarkStart w:id="28" w:name="_Toc206345390"/>
      <w:r w:rsidRPr="00D97B87">
        <w:rPr>
          <w:lang w:eastAsia="da-DK"/>
        </w:rPr>
        <w:t>Evaluating the Need for a Cloud Exit</w:t>
      </w:r>
      <w:bookmarkEnd w:id="28"/>
    </w:p>
    <w:p w14:paraId="6704CDA9" w14:textId="4B11124B" w:rsidR="00F51BA1" w:rsidRDefault="00F50FA3" w:rsidP="00DA3880">
      <w:r w:rsidRPr="00F50FA3">
        <w:t>If performance consistently falls below expectations and corrective measures fail, organizations should consider migrating to a more suitable cloud provider that meets their operational and business objectives.</w:t>
      </w:r>
    </w:p>
    <w:p w14:paraId="68F7A581" w14:textId="77777777" w:rsidR="00F51BA1" w:rsidRDefault="00F51BA1">
      <w:r>
        <w:br w:type="page"/>
      </w:r>
    </w:p>
    <w:p w14:paraId="77084CBB" w14:textId="566773D3" w:rsidR="00DA3880" w:rsidRPr="00DA3880" w:rsidRDefault="00DA3880" w:rsidP="00DA3880">
      <w:pPr>
        <w:pStyle w:val="Heading2"/>
      </w:pPr>
      <w:bookmarkStart w:id="29" w:name="_Toc206345391"/>
      <w:r>
        <w:lastRenderedPageBreak/>
        <w:t>Scalability and Flexibility</w:t>
      </w:r>
      <w:bookmarkEnd w:id="29"/>
    </w:p>
    <w:p w14:paraId="424067B7" w14:textId="5C26A012" w:rsidR="00DA3880" w:rsidRPr="00BA1766" w:rsidRDefault="00F50FA3" w:rsidP="00F9494F">
      <w:pPr>
        <w:jc w:val="both"/>
      </w:pPr>
      <w:r w:rsidRPr="00F50FA3">
        <w:t>Scalability and flexibility are essential in cloud computing to ensure that organizations can efficiently adapt to changing business demands, growth, and technological advancements.</w:t>
      </w:r>
    </w:p>
    <w:p w14:paraId="44CEF23A" w14:textId="77777777" w:rsidR="00F50FA3" w:rsidRPr="00D97B87" w:rsidRDefault="00F50FA3" w:rsidP="00BA1766">
      <w:pPr>
        <w:pStyle w:val="Heading3"/>
        <w:rPr>
          <w:lang w:eastAsia="da-DK"/>
        </w:rPr>
      </w:pPr>
      <w:bookmarkStart w:id="30" w:name="_Toc206345392"/>
      <w:r w:rsidRPr="00D97B87">
        <w:rPr>
          <w:lang w:eastAsia="da-DK"/>
        </w:rPr>
        <w:t>Importance of Scalability in Cloud Services</w:t>
      </w:r>
      <w:bookmarkEnd w:id="30"/>
    </w:p>
    <w:p w14:paraId="03D57E4C" w14:textId="77777777" w:rsidR="00F50FA3" w:rsidRPr="00BA1766" w:rsidRDefault="00F50FA3" w:rsidP="00F50FA3">
      <w:pPr>
        <w:pStyle w:val="ListParagraph"/>
        <w:numPr>
          <w:ilvl w:val="0"/>
          <w:numId w:val="56"/>
        </w:numPr>
        <w:spacing w:before="100" w:beforeAutospacing="1" w:after="100" w:afterAutospacing="1" w:line="240" w:lineRule="auto"/>
        <w:outlineLvl w:val="3"/>
        <w:rPr>
          <w:rFonts w:eastAsia="Times New Roman" w:cstheme="minorHAnsi"/>
          <w:lang w:eastAsia="da-DK"/>
        </w:rPr>
      </w:pPr>
      <w:r w:rsidRPr="00BA1766">
        <w:rPr>
          <w:rFonts w:eastAsia="Times New Roman" w:cstheme="minorHAnsi"/>
          <w:lang w:eastAsia="da-DK"/>
        </w:rPr>
        <w:t>Handling Increasing Workloads</w:t>
      </w:r>
    </w:p>
    <w:p w14:paraId="305AE913" w14:textId="77777777" w:rsidR="00F50FA3" w:rsidRPr="00974BBE" w:rsidRDefault="00F50FA3" w:rsidP="00F50FA3">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Organizations must assess whether the cloud provider supports seamless scalability.</w:t>
      </w:r>
    </w:p>
    <w:p w14:paraId="48D22CE5" w14:textId="79FB7514" w:rsidR="00457CC3" w:rsidRPr="00437DB5" w:rsidRDefault="00F50FA3" w:rsidP="00437DB5">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Performance degradation during peak usage periods signals potential constraints.</w:t>
      </w:r>
    </w:p>
    <w:p w14:paraId="2FD18FA8" w14:textId="77777777" w:rsidR="00F50FA3" w:rsidRPr="00974BBE" w:rsidRDefault="00F50FA3" w:rsidP="00F50FA3">
      <w:pPr>
        <w:pStyle w:val="ListParagraph"/>
        <w:numPr>
          <w:ilvl w:val="0"/>
          <w:numId w:val="56"/>
        </w:numPr>
        <w:spacing w:before="100" w:beforeAutospacing="1" w:after="100" w:afterAutospacing="1" w:line="240" w:lineRule="auto"/>
        <w:outlineLvl w:val="3"/>
        <w:rPr>
          <w:rFonts w:eastAsia="Times New Roman" w:cstheme="minorHAnsi"/>
          <w:lang w:eastAsia="da-DK"/>
        </w:rPr>
      </w:pPr>
      <w:r w:rsidRPr="00974BBE">
        <w:rPr>
          <w:rFonts w:eastAsia="Times New Roman" w:cstheme="minorHAnsi"/>
          <w:lang w:eastAsia="da-DK"/>
        </w:rPr>
        <w:t>Elastic Resource Allocation</w:t>
      </w:r>
    </w:p>
    <w:p w14:paraId="1580DD7A" w14:textId="77777777" w:rsidR="00F50FA3" w:rsidRPr="00974BBE" w:rsidRDefault="00F50FA3" w:rsidP="00F50FA3">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The ability to scale up or down based on demand optimizes cost efficiency.</w:t>
      </w:r>
    </w:p>
    <w:p w14:paraId="0BBD42B4" w14:textId="77777777" w:rsidR="00F50FA3" w:rsidRPr="00974BBE" w:rsidRDefault="00F50FA3" w:rsidP="00F50FA3">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Providers with rigid resource allocation policies may hinder business agility.</w:t>
      </w:r>
    </w:p>
    <w:p w14:paraId="76B49B66" w14:textId="77777777" w:rsidR="00F50FA3" w:rsidRPr="00974BBE" w:rsidRDefault="00F50FA3" w:rsidP="00F50FA3">
      <w:pPr>
        <w:pStyle w:val="ListParagraph"/>
        <w:numPr>
          <w:ilvl w:val="0"/>
          <w:numId w:val="56"/>
        </w:numPr>
        <w:spacing w:before="100" w:beforeAutospacing="1" w:after="100" w:afterAutospacing="1" w:line="240" w:lineRule="auto"/>
        <w:outlineLvl w:val="3"/>
        <w:rPr>
          <w:rFonts w:eastAsia="Times New Roman" w:cstheme="minorHAnsi"/>
          <w:lang w:eastAsia="da-DK"/>
        </w:rPr>
      </w:pPr>
      <w:r w:rsidRPr="00974BBE">
        <w:rPr>
          <w:rFonts w:eastAsia="Times New Roman" w:cstheme="minorHAnsi"/>
          <w:lang w:eastAsia="da-DK"/>
        </w:rPr>
        <w:t>Global Expansion Support</w:t>
      </w:r>
    </w:p>
    <w:p w14:paraId="09BA981C" w14:textId="77777777" w:rsidR="00F50FA3" w:rsidRPr="00974BBE" w:rsidRDefault="00F50FA3" w:rsidP="00F50FA3">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Businesses expanding internationally need providers with a global data center presence.</w:t>
      </w:r>
    </w:p>
    <w:p w14:paraId="566A2DFB" w14:textId="77777777" w:rsidR="00F50FA3" w:rsidRPr="00974BBE" w:rsidRDefault="00F50FA3" w:rsidP="00F50FA3">
      <w:pPr>
        <w:numPr>
          <w:ilvl w:val="1"/>
          <w:numId w:val="56"/>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Regional restrictions may impact performance and compliance.</w:t>
      </w:r>
    </w:p>
    <w:p w14:paraId="1FD3A273" w14:textId="3779A7E7" w:rsidR="007D34CB" w:rsidRPr="00974BBE" w:rsidRDefault="00417060" w:rsidP="00974BBE">
      <w:pPr>
        <w:pStyle w:val="Heading3"/>
      </w:pPr>
      <w:bookmarkStart w:id="31" w:name="_Toc206345393"/>
      <w:r w:rsidRPr="00417060">
        <w:t>Flexibility Considerations</w:t>
      </w:r>
      <w:bookmarkEnd w:id="31"/>
    </w:p>
    <w:p w14:paraId="380B216B" w14:textId="77777777" w:rsidR="00417060" w:rsidRPr="00974BBE" w:rsidRDefault="00417060" w:rsidP="00417060">
      <w:pPr>
        <w:pStyle w:val="ListParagraph"/>
        <w:numPr>
          <w:ilvl w:val="0"/>
          <w:numId w:val="57"/>
        </w:numPr>
        <w:spacing w:before="100" w:beforeAutospacing="1" w:after="100" w:afterAutospacing="1" w:line="240" w:lineRule="auto"/>
        <w:outlineLvl w:val="3"/>
        <w:rPr>
          <w:rFonts w:eastAsia="Times New Roman" w:cstheme="minorHAnsi"/>
          <w:lang w:eastAsia="da-DK"/>
        </w:rPr>
      </w:pPr>
      <w:r w:rsidRPr="00974BBE">
        <w:rPr>
          <w:rFonts w:eastAsia="Times New Roman" w:cstheme="minorHAnsi"/>
          <w:lang w:eastAsia="da-DK"/>
        </w:rPr>
        <w:t>Interoperability Across Multiple Platforms</w:t>
      </w:r>
    </w:p>
    <w:p w14:paraId="1E0DDCB7"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The ability to integrate with existing on-premises infrastructure or hybrid cloud environments.</w:t>
      </w:r>
    </w:p>
    <w:p w14:paraId="14D91FF7"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Compatibility with different cloud vendors prevents vendor lock-in.</w:t>
      </w:r>
    </w:p>
    <w:p w14:paraId="68AC0525" w14:textId="77777777" w:rsidR="00417060" w:rsidRPr="00974BBE" w:rsidRDefault="00417060" w:rsidP="00417060">
      <w:pPr>
        <w:pStyle w:val="ListParagraph"/>
        <w:numPr>
          <w:ilvl w:val="0"/>
          <w:numId w:val="57"/>
        </w:numPr>
        <w:spacing w:before="100" w:beforeAutospacing="1" w:after="100" w:afterAutospacing="1" w:line="240" w:lineRule="auto"/>
        <w:outlineLvl w:val="3"/>
        <w:rPr>
          <w:rFonts w:eastAsia="Times New Roman" w:cstheme="minorHAnsi"/>
          <w:lang w:eastAsia="da-DK"/>
        </w:rPr>
      </w:pPr>
      <w:r w:rsidRPr="00974BBE">
        <w:rPr>
          <w:rFonts w:eastAsia="Times New Roman" w:cstheme="minorHAnsi"/>
          <w:lang w:eastAsia="da-DK"/>
        </w:rPr>
        <w:t>Customization and Adaptability</w:t>
      </w:r>
    </w:p>
    <w:p w14:paraId="2A4E420C"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Flexible cloud solutions allow businesses to tailor services to their needs.</w:t>
      </w:r>
    </w:p>
    <w:p w14:paraId="17488587"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Providers with rigid configurations may not accommodate future requirements.</w:t>
      </w:r>
    </w:p>
    <w:p w14:paraId="5437443D" w14:textId="77777777" w:rsidR="00417060" w:rsidRPr="00974BBE" w:rsidRDefault="00417060" w:rsidP="00417060">
      <w:pPr>
        <w:pStyle w:val="ListParagraph"/>
        <w:numPr>
          <w:ilvl w:val="0"/>
          <w:numId w:val="57"/>
        </w:numPr>
        <w:spacing w:before="100" w:beforeAutospacing="1" w:after="100" w:afterAutospacing="1" w:line="240" w:lineRule="auto"/>
        <w:outlineLvl w:val="3"/>
        <w:rPr>
          <w:rFonts w:eastAsia="Times New Roman" w:cstheme="minorHAnsi"/>
          <w:lang w:eastAsia="da-DK"/>
        </w:rPr>
      </w:pPr>
      <w:r w:rsidRPr="00974BBE">
        <w:rPr>
          <w:rFonts w:eastAsia="Times New Roman" w:cstheme="minorHAnsi"/>
          <w:lang w:eastAsia="da-DK"/>
        </w:rPr>
        <w:t>Support for Emerging Technologies</w:t>
      </w:r>
    </w:p>
    <w:p w14:paraId="6741BAD7"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Evaluate the provider’s ability to support AI, IoT, and blockchain applications.</w:t>
      </w:r>
    </w:p>
    <w:p w14:paraId="5FA9AC69" w14:textId="77777777" w:rsidR="00417060" w:rsidRPr="00974BBE" w:rsidRDefault="00417060" w:rsidP="00417060">
      <w:pPr>
        <w:numPr>
          <w:ilvl w:val="1"/>
          <w:numId w:val="57"/>
        </w:numPr>
        <w:spacing w:before="100" w:beforeAutospacing="1" w:after="100" w:afterAutospacing="1" w:line="240" w:lineRule="auto"/>
        <w:rPr>
          <w:rFonts w:eastAsia="Times New Roman" w:cstheme="minorHAnsi"/>
          <w:lang w:eastAsia="da-DK"/>
        </w:rPr>
      </w:pPr>
      <w:r w:rsidRPr="00974BBE">
        <w:rPr>
          <w:rFonts w:eastAsia="Times New Roman" w:cstheme="minorHAnsi"/>
          <w:lang w:eastAsia="da-DK"/>
        </w:rPr>
        <w:t>Lack of innovation may hinder long-term growth.</w:t>
      </w:r>
    </w:p>
    <w:p w14:paraId="6E4018B3" w14:textId="77777777" w:rsidR="00665CB0" w:rsidRPr="00D97B87" w:rsidRDefault="00665CB0" w:rsidP="00974BBE">
      <w:pPr>
        <w:pStyle w:val="Heading3"/>
        <w:rPr>
          <w:lang w:eastAsia="da-DK"/>
        </w:rPr>
      </w:pPr>
      <w:bookmarkStart w:id="32" w:name="_Toc206345394"/>
      <w:r w:rsidRPr="00D97B87">
        <w:rPr>
          <w:lang w:eastAsia="da-DK"/>
        </w:rPr>
        <w:t>Strategies for Ensuring Scalability and Flexibility</w:t>
      </w:r>
      <w:bookmarkEnd w:id="32"/>
    </w:p>
    <w:p w14:paraId="74BB9A70" w14:textId="77777777" w:rsidR="00665CB0" w:rsidRPr="00CE1D32" w:rsidRDefault="00665CB0" w:rsidP="00665CB0">
      <w:pPr>
        <w:pStyle w:val="ListParagraph"/>
        <w:numPr>
          <w:ilvl w:val="0"/>
          <w:numId w:val="58"/>
        </w:numPr>
        <w:spacing w:before="100" w:beforeAutospacing="1" w:after="100" w:afterAutospacing="1" w:line="240" w:lineRule="auto"/>
        <w:outlineLvl w:val="3"/>
        <w:rPr>
          <w:rFonts w:eastAsia="Times New Roman" w:cstheme="minorHAnsi"/>
          <w:lang w:eastAsia="da-DK"/>
        </w:rPr>
      </w:pPr>
      <w:r w:rsidRPr="00CE1D32">
        <w:rPr>
          <w:rFonts w:eastAsia="Times New Roman" w:cstheme="minorHAnsi"/>
          <w:lang w:eastAsia="da-DK"/>
        </w:rPr>
        <w:t>Implement a Multi-Cloud or Hybrid Strategy</w:t>
      </w:r>
    </w:p>
    <w:p w14:paraId="5C20BA84" w14:textId="77777777" w:rsidR="00665CB0" w:rsidRPr="00D97B87"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Distribute workloads across multiple providers to ensure redundancy and adaptability.</w:t>
      </w:r>
    </w:p>
    <w:p w14:paraId="6EA02F4B" w14:textId="77777777" w:rsidR="00665CB0" w:rsidRPr="00D97B87"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Avoid reliance on a single provider’s infrastructure.</w:t>
      </w:r>
    </w:p>
    <w:p w14:paraId="12434C2E" w14:textId="77777777" w:rsidR="00665CB0" w:rsidRPr="00CE1D32" w:rsidRDefault="00665CB0" w:rsidP="00665CB0">
      <w:pPr>
        <w:pStyle w:val="ListParagraph"/>
        <w:numPr>
          <w:ilvl w:val="0"/>
          <w:numId w:val="58"/>
        </w:numPr>
        <w:spacing w:before="100" w:beforeAutospacing="1" w:after="100" w:afterAutospacing="1" w:line="240" w:lineRule="auto"/>
        <w:outlineLvl w:val="3"/>
        <w:rPr>
          <w:rFonts w:eastAsia="Times New Roman" w:cstheme="minorHAnsi"/>
          <w:lang w:eastAsia="da-DK"/>
        </w:rPr>
      </w:pPr>
      <w:r w:rsidRPr="00CE1D32">
        <w:rPr>
          <w:rFonts w:eastAsia="Times New Roman" w:cstheme="minorHAnsi"/>
          <w:lang w:eastAsia="da-DK"/>
        </w:rPr>
        <w:t>Leverage Containerization and Microservices</w:t>
      </w:r>
    </w:p>
    <w:p w14:paraId="3ACE44F9" w14:textId="77777777" w:rsidR="00665CB0" w:rsidRPr="00D97B87"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Using Kubernetes and Docker ensures application portability.</w:t>
      </w:r>
    </w:p>
    <w:p w14:paraId="1638CA25" w14:textId="77777777" w:rsidR="00665CB0" w:rsidRPr="00D97B87"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Reduces dependency on proprietary cloud services.</w:t>
      </w:r>
    </w:p>
    <w:p w14:paraId="1BAF9E13" w14:textId="77777777" w:rsidR="00665CB0" w:rsidRPr="00CE1D32" w:rsidRDefault="00665CB0" w:rsidP="00665CB0">
      <w:pPr>
        <w:pStyle w:val="ListParagraph"/>
        <w:numPr>
          <w:ilvl w:val="0"/>
          <w:numId w:val="58"/>
        </w:numPr>
        <w:spacing w:before="100" w:beforeAutospacing="1" w:after="100" w:afterAutospacing="1" w:line="240" w:lineRule="auto"/>
        <w:outlineLvl w:val="3"/>
        <w:rPr>
          <w:rFonts w:eastAsia="Times New Roman" w:cstheme="minorHAnsi"/>
          <w:lang w:eastAsia="da-DK"/>
        </w:rPr>
      </w:pPr>
      <w:r w:rsidRPr="00CE1D32">
        <w:rPr>
          <w:rFonts w:eastAsia="Times New Roman" w:cstheme="minorHAnsi"/>
          <w:lang w:eastAsia="da-DK"/>
        </w:rPr>
        <w:t>Monitor Usage Patterns and Scale Proactively</w:t>
      </w:r>
    </w:p>
    <w:p w14:paraId="3B4FEDF5" w14:textId="77777777" w:rsidR="00665CB0" w:rsidRPr="00D97B87"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Analyze resource utilization trends to anticipate scaling needs.</w:t>
      </w:r>
    </w:p>
    <w:p w14:paraId="0468AC8B" w14:textId="77777777" w:rsidR="00665CB0" w:rsidRPr="00CE1D32" w:rsidRDefault="00665CB0" w:rsidP="00665CB0">
      <w:pPr>
        <w:numPr>
          <w:ilvl w:val="1"/>
          <w:numId w:val="58"/>
        </w:numPr>
        <w:spacing w:before="100" w:beforeAutospacing="1" w:after="100" w:afterAutospacing="1" w:line="240" w:lineRule="auto"/>
        <w:rPr>
          <w:rFonts w:eastAsia="Times New Roman" w:cstheme="minorHAnsi"/>
          <w:lang w:eastAsia="da-DK"/>
        </w:rPr>
      </w:pPr>
      <w:r w:rsidRPr="00D97B87">
        <w:rPr>
          <w:rFonts w:eastAsia="Times New Roman" w:cstheme="minorHAnsi"/>
          <w:lang w:eastAsia="da-DK"/>
        </w:rPr>
        <w:t>Automate scaling policies to optimize performance and cost.</w:t>
      </w:r>
    </w:p>
    <w:p w14:paraId="379E708A" w14:textId="77777777" w:rsidR="00665CB0" w:rsidRPr="00665CB0" w:rsidRDefault="00665CB0" w:rsidP="00974BBE">
      <w:pPr>
        <w:pStyle w:val="Heading3"/>
        <w:rPr>
          <w:lang w:eastAsia="da-DK"/>
        </w:rPr>
      </w:pPr>
      <w:bookmarkStart w:id="33" w:name="_Toc206345395"/>
      <w:r w:rsidRPr="00665CB0">
        <w:rPr>
          <w:lang w:eastAsia="da-DK"/>
        </w:rPr>
        <w:t>Exit Considerations for Scalability and Flexibility</w:t>
      </w:r>
      <w:bookmarkEnd w:id="33"/>
    </w:p>
    <w:p w14:paraId="1A9A2E50" w14:textId="1385D6F7" w:rsidR="00665CB0" w:rsidRPr="00974BBE" w:rsidRDefault="00665CB0" w:rsidP="00F9494F">
      <w:pPr>
        <w:jc w:val="both"/>
      </w:pPr>
      <w:r w:rsidRPr="00665CB0">
        <w:t>If a provider cannot accommodate growing business needs or lacks the flexibility to support evolv-ing technologies, organizations should evaluate alternative cloud solutions that better align with their long-term strategy.</w:t>
      </w:r>
    </w:p>
    <w:p w14:paraId="473C73F2" w14:textId="2D8D22DD" w:rsidR="00417060" w:rsidRPr="00974BBE" w:rsidRDefault="00665CB0" w:rsidP="00F9494F">
      <w:pPr>
        <w:jc w:val="both"/>
      </w:pPr>
      <w:r w:rsidRPr="00665CB0">
        <w:lastRenderedPageBreak/>
        <w:t>Ensuring scalability and flexibility in cloud services is vital for long-term business success. Organiza-tions must continuously assess whether their cloud provider can meet current and future needs, and have a well-defined exit strategy in place to pivot when necessary.</w:t>
      </w:r>
    </w:p>
    <w:p w14:paraId="658D8EFD" w14:textId="4AF76C3F" w:rsidR="00F9494F" w:rsidRPr="005979A5" w:rsidRDefault="007A1106" w:rsidP="00F9494F">
      <w:pPr>
        <w:pStyle w:val="Heading1"/>
        <w:ind w:left="993" w:hanging="993"/>
        <w:rPr>
          <w:lang w:val="en-GB"/>
        </w:rPr>
      </w:pPr>
      <w:bookmarkStart w:id="34" w:name="_Toc206345396"/>
      <w:r w:rsidRPr="005979A5">
        <w:rPr>
          <w:lang w:val="en-GB"/>
        </w:rPr>
        <w:t xml:space="preserve">Cloud </w:t>
      </w:r>
      <w:r w:rsidR="00961642" w:rsidRPr="005979A5">
        <w:rPr>
          <w:lang w:val="en-GB"/>
        </w:rPr>
        <w:t>Escrow Service</w:t>
      </w:r>
      <w:bookmarkEnd w:id="34"/>
    </w:p>
    <w:p w14:paraId="6C1269C4" w14:textId="7FD9D9A9" w:rsidR="004102E2" w:rsidRPr="004102E2" w:rsidRDefault="005979A5" w:rsidP="004102E2">
      <w:pPr>
        <w:rPr>
          <w:highlight w:val="yellow"/>
          <w:lang w:val="en-GB"/>
        </w:rPr>
      </w:pPr>
      <w:r w:rsidRPr="005979A5">
        <w:rPr>
          <w:lang w:val="en-GB"/>
        </w:rPr>
        <w:t>Prior to cloud, software escrow was fairly simple. An escrow service would keep a copy of vendor released software in the event the vendor became no longer available to support their software.  With the advent of Cloud, and then DevOps, this traditional method became challenging due to the reality of cloud providers updating services on a daily basis. Today, there are many Cloud Escrow providers that may provide solutions to incorporate into an Exit Strategy.</w:t>
      </w:r>
    </w:p>
    <w:p w14:paraId="14FEF6E7" w14:textId="317C3D62" w:rsidR="00F9494F" w:rsidRPr="002D197E" w:rsidRDefault="00F9494F" w:rsidP="00F9494F">
      <w:pPr>
        <w:pStyle w:val="Heading1"/>
        <w:rPr>
          <w:lang w:val="en-GB"/>
        </w:rPr>
      </w:pPr>
      <w:bookmarkStart w:id="35" w:name="_Toc206345397"/>
      <w:r w:rsidRPr="6F3AAE03">
        <w:rPr>
          <w:lang w:val="en-GB"/>
        </w:rPr>
        <w:t>Glossary</w:t>
      </w:r>
      <w:bookmarkEnd w:id="35"/>
    </w:p>
    <w:p w14:paraId="6A4A8F96" w14:textId="7635FCCB" w:rsidR="00F9494F" w:rsidRPr="002D197E" w:rsidRDefault="0026273C" w:rsidP="00F9494F">
      <w:pPr>
        <w:tabs>
          <w:tab w:val="left" w:pos="2093"/>
        </w:tabs>
        <w:rPr>
          <w:lang w:val="en-GB"/>
        </w:rPr>
      </w:pPr>
      <w:r w:rsidRPr="002D197E">
        <w:rPr>
          <w:lang w:val="en-GB"/>
        </w:rPr>
        <w:t xml:space="preserve">See Glossary in </w:t>
      </w:r>
      <w:r w:rsidR="000757AB">
        <w:rPr>
          <w:lang w:val="en-GB"/>
        </w:rPr>
        <w:t>PHUSE</w:t>
      </w:r>
      <w:r w:rsidRPr="002D197E">
        <w:rPr>
          <w:lang w:val="en-GB"/>
        </w:rPr>
        <w:t xml:space="preserve">, Cloud Services - A Framework for Adoption in the Regulated Life Sciences Industry, Pre Amble, Edition </w:t>
      </w:r>
      <w:r w:rsidR="003C313A" w:rsidRPr="003C313A">
        <w:rPr>
          <w:lang w:val="en-GB"/>
        </w:rPr>
        <w:t>5, November 2023</w:t>
      </w:r>
      <w:r w:rsidR="003C313A">
        <w:rPr>
          <w:lang w:val="en-GB"/>
        </w:rPr>
        <w:t>.</w:t>
      </w:r>
    </w:p>
    <w:p w14:paraId="10C8DB84" w14:textId="6CC8D513" w:rsidR="00F9494F" w:rsidRPr="002D197E" w:rsidRDefault="00F9494F" w:rsidP="00F9494F">
      <w:pPr>
        <w:pStyle w:val="Heading1"/>
        <w:ind w:left="993" w:hanging="993"/>
        <w:rPr>
          <w:lang w:val="en-GB"/>
        </w:rPr>
      </w:pPr>
      <w:bookmarkStart w:id="36" w:name="_Toc527708609"/>
      <w:bookmarkStart w:id="37" w:name="_Toc206345398"/>
      <w:r w:rsidRPr="6F3AAE03">
        <w:rPr>
          <w:lang w:val="en-GB"/>
        </w:rPr>
        <w:t>References</w:t>
      </w:r>
      <w:bookmarkEnd w:id="36"/>
      <w:bookmarkEnd w:id="37"/>
    </w:p>
    <w:p w14:paraId="049A19A5" w14:textId="77777777" w:rsidR="00F9494F" w:rsidRPr="002D197E" w:rsidRDefault="00F9494F" w:rsidP="00F9494F">
      <w:pPr>
        <w:pStyle w:val="ListParagraph"/>
        <w:numPr>
          <w:ilvl w:val="0"/>
          <w:numId w:val="32"/>
        </w:numPr>
        <w:rPr>
          <w:lang w:val="en-GB"/>
        </w:rPr>
      </w:pPr>
      <w:bookmarkStart w:id="38" w:name="_Ref527707166"/>
      <w:bookmarkStart w:id="39" w:name="_Ref526705512"/>
      <w:r w:rsidRPr="002D197E">
        <w:rPr>
          <w:lang w:val="en-GB"/>
        </w:rPr>
        <w:t>Cloud Security Alliance, Cloud Controls Matrix</w:t>
      </w:r>
      <w:bookmarkEnd w:id="38"/>
    </w:p>
    <w:bookmarkEnd w:id="39"/>
    <w:p w14:paraId="02F040C5" w14:textId="620AE7B7" w:rsidR="00FA3EC1" w:rsidRPr="00C66281" w:rsidRDefault="00FA3EC1" w:rsidP="00CE2549">
      <w:pPr>
        <w:pStyle w:val="ListParagraph"/>
        <w:numPr>
          <w:ilvl w:val="0"/>
          <w:numId w:val="32"/>
        </w:numPr>
        <w:rPr>
          <w:lang w:val="en-GB"/>
        </w:rPr>
      </w:pPr>
      <w:r w:rsidRPr="00C66281">
        <w:rPr>
          <w:lang w:val="en-GB"/>
        </w:rPr>
        <w:t>ISO27002-2022</w:t>
      </w:r>
      <w:r w:rsidR="003157AC" w:rsidRPr="00C66281">
        <w:rPr>
          <w:lang w:val="en-GB"/>
        </w:rPr>
        <w:t xml:space="preserve">; </w:t>
      </w:r>
      <w:r w:rsidR="00C66281" w:rsidRPr="00C66281">
        <w:rPr>
          <w:lang w:val="en-GB"/>
        </w:rPr>
        <w:t>Information security, cybersecurity and privacy protection – Information security controls</w:t>
      </w:r>
    </w:p>
    <w:p w14:paraId="795F8432" w14:textId="48C9DB56" w:rsidR="000034B9" w:rsidRDefault="000034B9" w:rsidP="00CE2549">
      <w:pPr>
        <w:pStyle w:val="ListParagraph"/>
        <w:numPr>
          <w:ilvl w:val="0"/>
          <w:numId w:val="32"/>
        </w:numPr>
        <w:rPr>
          <w:lang w:val="en-GB"/>
        </w:rPr>
      </w:pPr>
      <w:r w:rsidRPr="000034B9">
        <w:rPr>
          <w:lang w:val="en-GB"/>
        </w:rPr>
        <w:t>OECD SERIES ON PRINCIPLES OF GOOD LABORATORY PRACTICE AND COMPLIANCE MONITORING</w:t>
      </w:r>
      <w:r>
        <w:rPr>
          <w:lang w:val="en-GB"/>
        </w:rPr>
        <w:t xml:space="preserve">, </w:t>
      </w:r>
      <w:r w:rsidRPr="000034B9">
        <w:rPr>
          <w:lang w:val="en-GB"/>
        </w:rPr>
        <w:t>Advisory Document on GLP &amp; Cloud Computing</w:t>
      </w:r>
      <w:r>
        <w:rPr>
          <w:lang w:val="en-GB"/>
        </w:rPr>
        <w:t>, June 2023</w:t>
      </w:r>
    </w:p>
    <w:p w14:paraId="289C84A9" w14:textId="7C1A3D16" w:rsidR="007A561F" w:rsidRDefault="007A561F" w:rsidP="00F9494F">
      <w:pPr>
        <w:pStyle w:val="ListParagraph"/>
        <w:numPr>
          <w:ilvl w:val="0"/>
          <w:numId w:val="32"/>
        </w:numPr>
        <w:rPr>
          <w:lang w:val="en-GB"/>
        </w:rPr>
      </w:pPr>
      <w:hyperlink r:id="rId11" w:history="1">
        <w:r w:rsidRPr="00AD5A1D">
          <w:rPr>
            <w:rStyle w:val="Hyperlink"/>
            <w:lang w:val="en-GB"/>
          </w:rPr>
          <w:t>https://dictionary.cambridge.org/dictionary/english/exit-strategy</w:t>
        </w:r>
      </w:hyperlink>
    </w:p>
    <w:p w14:paraId="7293DC68" w14:textId="1A340371" w:rsidR="00F9494F" w:rsidRPr="003C313A" w:rsidRDefault="000757AB" w:rsidP="00F9494F">
      <w:pPr>
        <w:pStyle w:val="ListParagraph"/>
        <w:numPr>
          <w:ilvl w:val="0"/>
          <w:numId w:val="32"/>
        </w:numPr>
        <w:rPr>
          <w:lang w:val="en-GB"/>
        </w:rPr>
      </w:pPr>
      <w:r>
        <w:rPr>
          <w:lang w:val="en-GB"/>
        </w:rPr>
        <w:t>PHUSE</w:t>
      </w:r>
      <w:r w:rsidR="00F9494F" w:rsidRPr="003C313A">
        <w:rPr>
          <w:lang w:val="en-GB"/>
        </w:rPr>
        <w:t xml:space="preserve">, </w:t>
      </w:r>
      <w:r w:rsidR="009670B6" w:rsidRPr="003C313A">
        <w:rPr>
          <w:lang w:val="en-GB"/>
        </w:rPr>
        <w:t xml:space="preserve">Cloud Services - A Framework for Adoption in the Regulated Life Sciences Industry, Pre Amble, Edition </w:t>
      </w:r>
      <w:r w:rsidR="003A681A" w:rsidRPr="003C313A">
        <w:rPr>
          <w:lang w:val="en-GB"/>
        </w:rPr>
        <w:t>5</w:t>
      </w:r>
      <w:r w:rsidR="009670B6" w:rsidRPr="003C313A">
        <w:rPr>
          <w:lang w:val="en-GB"/>
        </w:rPr>
        <w:t xml:space="preserve">, </w:t>
      </w:r>
      <w:r w:rsidR="003C313A" w:rsidRPr="003C313A">
        <w:rPr>
          <w:lang w:val="en-GB"/>
        </w:rPr>
        <w:t>November 2023</w:t>
      </w:r>
    </w:p>
    <w:p w14:paraId="7B8C082F" w14:textId="77777777" w:rsidR="007A561F" w:rsidRDefault="007A561F" w:rsidP="007A561F">
      <w:pPr>
        <w:pStyle w:val="ListParagraph"/>
        <w:numPr>
          <w:ilvl w:val="0"/>
          <w:numId w:val="32"/>
        </w:numPr>
      </w:pPr>
      <w:hyperlink r:id="rId12" w:history="1">
        <w:r w:rsidRPr="00B33019">
          <w:rPr>
            <w:rStyle w:val="Hyperlink"/>
          </w:rPr>
          <w:t>https://kpmg.com/uk/en/blogs/home/posts/2023/04/why-a--cloud-exit-strategy--is-essential-to-enable-the-future.html</w:t>
        </w:r>
      </w:hyperlink>
    </w:p>
    <w:p w14:paraId="729EE177" w14:textId="4042BCD5" w:rsidR="007436C6" w:rsidRDefault="007436C6" w:rsidP="007A561F">
      <w:pPr>
        <w:pStyle w:val="ListParagraph"/>
        <w:numPr>
          <w:ilvl w:val="0"/>
          <w:numId w:val="32"/>
        </w:numPr>
      </w:pPr>
      <w:bookmarkStart w:id="40" w:name="_Ref206345142"/>
      <w:r>
        <w:t>Eudralex, proposal for updated Annex 11, July 7</w:t>
      </w:r>
      <w:r w:rsidRPr="007436C6">
        <w:rPr>
          <w:vertAlign w:val="superscript"/>
        </w:rPr>
        <w:t>th</w:t>
      </w:r>
      <w:r>
        <w:t xml:space="preserve"> 2025</w:t>
      </w:r>
      <w:bookmarkEnd w:id="40"/>
    </w:p>
    <w:sectPr w:rsidR="007436C6" w:rsidSect="006920E6">
      <w:headerReference w:type="default" r:id="rId13"/>
      <w:footerReference w:type="default" r:id="rId14"/>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996B" w14:textId="77777777" w:rsidR="00864FF8" w:rsidRDefault="00864FF8" w:rsidP="00F04DD6">
      <w:pPr>
        <w:spacing w:after="0" w:line="240" w:lineRule="auto"/>
      </w:pPr>
      <w:r>
        <w:separator/>
      </w:r>
    </w:p>
  </w:endnote>
  <w:endnote w:type="continuationSeparator" w:id="0">
    <w:p w14:paraId="3268CF2B" w14:textId="77777777" w:rsidR="00864FF8" w:rsidRDefault="00864FF8" w:rsidP="00F04DD6">
      <w:pPr>
        <w:spacing w:after="0" w:line="240" w:lineRule="auto"/>
      </w:pPr>
      <w:r>
        <w:continuationSeparator/>
      </w:r>
    </w:p>
  </w:endnote>
  <w:endnote w:type="continuationNotice" w:id="1">
    <w:p w14:paraId="344387D5" w14:textId="77777777" w:rsidR="00864FF8" w:rsidRDefault="00864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893F" w14:textId="18B4B300" w:rsidR="00F81C9D" w:rsidRPr="00BE2133" w:rsidRDefault="00F81C9D" w:rsidP="00F81C9D">
    <w:pPr>
      <w:pStyle w:val="Footer"/>
      <w:jc w:val="right"/>
      <w:rPr>
        <w:rFonts w:asciiTheme="majorHAnsi" w:hAnsiTheme="majorHAnsi"/>
      </w:rPr>
    </w:pPr>
    <w:r w:rsidRPr="00BE2133">
      <w:rPr>
        <w:rFonts w:asciiTheme="majorHAnsi" w:hAnsiTheme="majorHAnsi"/>
        <w:lang w:val="de-DE" w:eastAsia="de-CH"/>
      </w:rPr>
      <w:t xml:space="preserve">Page </w:t>
    </w:r>
    <w:r w:rsidRPr="00BE2133">
      <w:rPr>
        <w:rFonts w:asciiTheme="majorHAnsi" w:hAnsiTheme="majorHAnsi"/>
        <w:lang w:val="de-DE" w:eastAsia="de-CH"/>
      </w:rPr>
      <w:fldChar w:fldCharType="begin"/>
    </w:r>
    <w:r w:rsidRPr="00BE2133">
      <w:rPr>
        <w:rFonts w:asciiTheme="majorHAnsi" w:hAnsiTheme="majorHAnsi"/>
        <w:lang w:val="de-DE" w:eastAsia="de-CH"/>
      </w:rPr>
      <w:instrText xml:space="preserve"> PAGE  \* Arabic  \* MERGEFORMAT </w:instrText>
    </w:r>
    <w:r w:rsidRPr="00BE2133">
      <w:rPr>
        <w:rFonts w:asciiTheme="majorHAnsi" w:hAnsiTheme="majorHAnsi"/>
        <w:lang w:val="de-DE" w:eastAsia="de-CH"/>
      </w:rPr>
      <w:fldChar w:fldCharType="separate"/>
    </w:r>
    <w:r w:rsidR="00E1129C">
      <w:rPr>
        <w:rFonts w:asciiTheme="majorHAnsi" w:hAnsiTheme="majorHAnsi"/>
        <w:noProof/>
        <w:lang w:val="de-DE" w:eastAsia="de-CH"/>
      </w:rPr>
      <w:t>1</w:t>
    </w:r>
    <w:r w:rsidRPr="00BE2133">
      <w:rPr>
        <w:rFonts w:asciiTheme="majorHAnsi" w:hAnsiTheme="majorHAnsi"/>
        <w:lang w:val="de-DE" w:eastAsia="de-CH"/>
      </w:rPr>
      <w:fldChar w:fldCharType="end"/>
    </w:r>
    <w:r>
      <w:rPr>
        <w:rFonts w:asciiTheme="majorHAnsi" w:hAnsiTheme="majorHAnsi"/>
        <w:lang w:val="de-DE" w:eastAsia="de-CH"/>
      </w:rPr>
      <w:t xml:space="preserve"> of</w:t>
    </w:r>
    <w:r w:rsidRPr="00BE2133">
      <w:rPr>
        <w:rFonts w:asciiTheme="majorHAnsi" w:hAnsiTheme="majorHAnsi"/>
        <w:lang w:val="de-DE" w:eastAsia="de-CH"/>
      </w:rPr>
      <w:t xml:space="preserve"> </w:t>
    </w:r>
    <w:r w:rsidRPr="00BE2133">
      <w:rPr>
        <w:rFonts w:asciiTheme="majorHAnsi" w:hAnsiTheme="majorHAnsi"/>
        <w:lang w:val="de-DE" w:eastAsia="de-CH"/>
      </w:rPr>
      <w:fldChar w:fldCharType="begin"/>
    </w:r>
    <w:r w:rsidRPr="00BE2133">
      <w:rPr>
        <w:rFonts w:asciiTheme="majorHAnsi" w:hAnsiTheme="majorHAnsi"/>
        <w:lang w:val="de-DE" w:eastAsia="de-CH"/>
      </w:rPr>
      <w:instrText xml:space="preserve"> SECTIONPAGES  \* Arabic  \* MERGEFORMAT </w:instrText>
    </w:r>
    <w:r w:rsidRPr="00BE2133">
      <w:rPr>
        <w:rFonts w:asciiTheme="majorHAnsi" w:hAnsiTheme="majorHAnsi"/>
        <w:lang w:val="de-DE" w:eastAsia="de-CH"/>
      </w:rPr>
      <w:fldChar w:fldCharType="separate"/>
    </w:r>
    <w:r w:rsidR="00070B9F">
      <w:rPr>
        <w:rFonts w:asciiTheme="majorHAnsi" w:hAnsiTheme="majorHAnsi"/>
        <w:noProof/>
        <w:lang w:val="de-DE" w:eastAsia="de-CH"/>
      </w:rPr>
      <w:t>16</w:t>
    </w:r>
    <w:r w:rsidRPr="00BE2133">
      <w:rPr>
        <w:rFonts w:asciiTheme="majorHAnsi" w:hAnsiTheme="majorHAnsi"/>
        <w:lang w:val="de-DE" w:eastAsia="de-CH"/>
      </w:rPr>
      <w:fldChar w:fldCharType="end"/>
    </w:r>
  </w:p>
  <w:p w14:paraId="541BF84C" w14:textId="77777777" w:rsidR="00F81C9D" w:rsidRDefault="00F8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B3B0" w14:textId="77777777" w:rsidR="00864FF8" w:rsidRDefault="00864FF8" w:rsidP="00F04DD6">
      <w:pPr>
        <w:spacing w:after="0" w:line="240" w:lineRule="auto"/>
      </w:pPr>
      <w:r>
        <w:separator/>
      </w:r>
    </w:p>
  </w:footnote>
  <w:footnote w:type="continuationSeparator" w:id="0">
    <w:p w14:paraId="05136680" w14:textId="77777777" w:rsidR="00864FF8" w:rsidRDefault="00864FF8" w:rsidP="00F04DD6">
      <w:pPr>
        <w:spacing w:after="0" w:line="240" w:lineRule="auto"/>
      </w:pPr>
      <w:r>
        <w:continuationSeparator/>
      </w:r>
    </w:p>
  </w:footnote>
  <w:footnote w:type="continuationNotice" w:id="1">
    <w:p w14:paraId="17D33139" w14:textId="77777777" w:rsidR="00864FF8" w:rsidRDefault="00864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5799"/>
      <w:gridCol w:w="2124"/>
    </w:tblGrid>
    <w:tr w:rsidR="009C58A2" w14:paraId="7CFBDF7D" w14:textId="77777777" w:rsidTr="00B04B03">
      <w:trPr>
        <w:trHeight w:hRule="exact" w:val="1286"/>
      </w:trPr>
      <w:tc>
        <w:tcPr>
          <w:tcW w:w="1541" w:type="dxa"/>
        </w:tcPr>
        <w:p w14:paraId="765DEDB7" w14:textId="77777777" w:rsidR="009C58A2" w:rsidRDefault="009C58A2" w:rsidP="009C58A2">
          <w:pPr>
            <w:spacing w:before="71"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5B9A882" wp14:editId="7FD219B7">
                <wp:extent cx="837282" cy="694055"/>
                <wp:effectExtent l="0" t="0" r="0" b="0"/>
                <wp:docPr id="2" name="Picture 2" descr="A blue and green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circl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43913" cy="699552"/>
                        </a:xfrm>
                        <a:prstGeom prst="rect">
                          <a:avLst/>
                        </a:prstGeom>
                      </pic:spPr>
                    </pic:pic>
                  </a:graphicData>
                </a:graphic>
              </wp:inline>
            </w:drawing>
          </w:r>
        </w:p>
      </w:tc>
      <w:tc>
        <w:tcPr>
          <w:tcW w:w="5799" w:type="dxa"/>
        </w:tcPr>
        <w:p w14:paraId="0C757FD8" w14:textId="77777777" w:rsidR="009C58A2" w:rsidRDefault="009C58A2" w:rsidP="009C58A2">
          <w:pPr>
            <w:tabs>
              <w:tab w:val="left" w:pos="1520"/>
            </w:tabs>
            <w:spacing w:after="0" w:line="264" w:lineRule="exact"/>
            <w:ind w:left="100" w:right="-20"/>
            <w:rPr>
              <w:rFonts w:ascii="Calibri" w:eastAsia="Calibri" w:hAnsi="Calibri" w:cs="Calibri"/>
              <w:spacing w:val="1"/>
              <w:position w:val="1"/>
            </w:rPr>
          </w:pPr>
        </w:p>
        <w:p w14:paraId="12B62669" w14:textId="0172B376" w:rsidR="009C58A2" w:rsidRDefault="009C58A2" w:rsidP="009C58A2">
          <w:pPr>
            <w:tabs>
              <w:tab w:val="left" w:pos="1520"/>
            </w:tabs>
            <w:spacing w:after="0" w:line="264" w:lineRule="exact"/>
            <w:ind w:left="100" w:right="-20"/>
            <w:rPr>
              <w:rFonts w:ascii="Calibri" w:eastAsia="Calibri" w:hAnsi="Calibri" w:cs="Calibri"/>
            </w:rPr>
          </w:pPr>
          <w:r>
            <w:rPr>
              <w:rFonts w:ascii="Calibri" w:eastAsia="Calibri" w:hAnsi="Calibri" w:cs="Calibri"/>
              <w:spacing w:val="1"/>
              <w:position w:val="1"/>
            </w:rPr>
            <w:t>DOC.ID</w:t>
          </w:r>
          <w:r>
            <w:rPr>
              <w:rFonts w:ascii="Calibri" w:eastAsia="Calibri" w:hAnsi="Calibri" w:cs="Calibri"/>
              <w:position w:val="1"/>
            </w:rPr>
            <w:t>:</w:t>
          </w:r>
          <w:r>
            <w:rPr>
              <w:rFonts w:ascii="Times New Roman" w:eastAsia="Times New Roman" w:hAnsi="Times New Roman" w:cs="Times New Roman"/>
              <w:position w:val="1"/>
            </w:rPr>
            <w:tab/>
          </w:r>
          <w:r w:rsidR="00937982">
            <w:rPr>
              <w:rFonts w:ascii="Times New Roman" w:eastAsia="Times New Roman" w:hAnsi="Times New Roman" w:cs="Times New Roman"/>
              <w:i/>
              <w:position w:val="1"/>
            </w:rPr>
            <w:t>WP-097</w:t>
          </w:r>
        </w:p>
        <w:p w14:paraId="70EC52AC" w14:textId="685D3EDE" w:rsidR="009C58A2" w:rsidRDefault="009C58A2" w:rsidP="009C58A2">
          <w:pPr>
            <w:tabs>
              <w:tab w:val="left" w:pos="1520"/>
            </w:tabs>
            <w:spacing w:after="0" w:line="264" w:lineRule="exact"/>
            <w:ind w:left="100" w:right="-20"/>
            <w:rPr>
              <w:rFonts w:ascii="Times New Roman" w:eastAsia="Times New Roman" w:hAnsi="Times New Roman" w:cs="Times New Roman"/>
              <w:i/>
              <w:position w:val="1"/>
            </w:rPr>
          </w:pPr>
          <w:r>
            <w:rPr>
              <w:rFonts w:ascii="Calibri" w:eastAsia="Calibri" w:hAnsi="Calibri" w:cs="Calibri"/>
              <w:spacing w:val="1"/>
            </w:rPr>
            <w:t>Version</w:t>
          </w:r>
          <w:r>
            <w:rPr>
              <w:rFonts w:ascii="Calibri" w:eastAsia="Calibri" w:hAnsi="Calibri" w:cs="Calibri"/>
            </w:rPr>
            <w:t>:</w:t>
          </w:r>
          <w:r>
            <w:rPr>
              <w:rFonts w:ascii="Times New Roman" w:eastAsia="Times New Roman" w:hAnsi="Times New Roman" w:cs="Times New Roman"/>
            </w:rPr>
            <w:tab/>
          </w:r>
          <w:r>
            <w:rPr>
              <w:rFonts w:ascii="Times New Roman" w:eastAsia="Times New Roman" w:hAnsi="Times New Roman" w:cs="Times New Roman"/>
              <w:i/>
              <w:position w:val="1"/>
            </w:rPr>
            <w:t>V0.1</w:t>
          </w:r>
        </w:p>
        <w:p w14:paraId="352C8A18" w14:textId="75C54DD9" w:rsidR="009C58A2" w:rsidRPr="00681863" w:rsidRDefault="009C58A2" w:rsidP="009C58A2">
          <w:pPr>
            <w:tabs>
              <w:tab w:val="left" w:pos="1520"/>
            </w:tabs>
            <w:spacing w:after="0" w:line="264" w:lineRule="exact"/>
            <w:ind w:left="100" w:right="-20"/>
            <w:rPr>
              <w:rFonts w:eastAsia="Calibri" w:cstheme="minorHAnsi"/>
              <w:iCs/>
            </w:rPr>
          </w:pPr>
          <w:r w:rsidRPr="00681863">
            <w:rPr>
              <w:rFonts w:eastAsia="Times New Roman" w:cstheme="minorHAnsi"/>
              <w:iCs/>
              <w:position w:val="1"/>
            </w:rPr>
            <w:t xml:space="preserve">Date: </w:t>
          </w:r>
          <w:r>
            <w:rPr>
              <w:rFonts w:eastAsia="Times New Roman" w:cstheme="minorHAnsi"/>
              <w:iCs/>
              <w:position w:val="1"/>
            </w:rPr>
            <w:t xml:space="preserve">                  17-08-2025</w:t>
          </w:r>
        </w:p>
        <w:p w14:paraId="08BA8D12" w14:textId="77777777" w:rsidR="009C58A2" w:rsidRDefault="009C58A2" w:rsidP="009C58A2">
          <w:pPr>
            <w:tabs>
              <w:tab w:val="left" w:pos="1520"/>
            </w:tabs>
            <w:spacing w:after="0" w:line="240" w:lineRule="auto"/>
            <w:ind w:left="100" w:right="-20"/>
            <w:rPr>
              <w:rFonts w:ascii="Calibri" w:eastAsia="Calibri" w:hAnsi="Calibri" w:cs="Calibri"/>
            </w:rPr>
          </w:pPr>
        </w:p>
      </w:tc>
      <w:tc>
        <w:tcPr>
          <w:tcW w:w="2124" w:type="dxa"/>
        </w:tcPr>
        <w:p w14:paraId="77C2908D" w14:textId="77777777" w:rsidR="009C58A2" w:rsidRDefault="009C58A2" w:rsidP="009C58A2">
          <w:pPr>
            <w:spacing w:before="4" w:after="0" w:line="200" w:lineRule="exact"/>
            <w:rPr>
              <w:sz w:val="20"/>
              <w:szCs w:val="20"/>
            </w:rPr>
          </w:pPr>
        </w:p>
        <w:p w14:paraId="7E306715" w14:textId="77777777" w:rsidR="009C58A2" w:rsidRDefault="009C58A2" w:rsidP="009C58A2">
          <w:pPr>
            <w:spacing w:after="0" w:line="242" w:lineRule="exact"/>
            <w:ind w:left="97" w:right="73"/>
            <w:rPr>
              <w:rFonts w:ascii="Times New Roman" w:eastAsia="Times New Roman" w:hAnsi="Times New Roman" w:cs="Times New Roman"/>
              <w:sz w:val="20"/>
              <w:szCs w:val="20"/>
            </w:rPr>
          </w:pPr>
          <w:r>
            <w:rPr>
              <w:rFonts w:ascii="Calibri" w:eastAsia="Calibri" w:hAnsi="Calibri" w:cs="Calibri"/>
              <w:spacing w:val="1"/>
              <w:sz w:val="20"/>
              <w:szCs w:val="20"/>
            </w:rPr>
            <w:t>Wo</w:t>
          </w:r>
          <w:r>
            <w:rPr>
              <w:rFonts w:ascii="Calibri" w:eastAsia="Calibri" w:hAnsi="Calibri" w:cs="Calibri"/>
              <w:spacing w:val="-1"/>
              <w:sz w:val="20"/>
              <w:szCs w:val="20"/>
            </w:rPr>
            <w:t>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Times New Roman" w:eastAsia="Times New Roman" w:hAnsi="Times New Roman" w:cs="Times New Roman"/>
              <w:spacing w:val="-8"/>
              <w:sz w:val="20"/>
              <w:szCs w:val="20"/>
            </w:rPr>
            <w:t xml:space="preserve"> </w:t>
          </w:r>
          <w:r>
            <w:rPr>
              <w:rFonts w:ascii="Calibri" w:eastAsia="Calibri" w:hAnsi="Calibri" w:cs="Calibri"/>
              <w:spacing w:val="-1"/>
              <w:sz w:val="20"/>
              <w:szCs w:val="20"/>
            </w:rPr>
            <w:t>Gr</w:t>
          </w:r>
          <w:r>
            <w:rPr>
              <w:rFonts w:ascii="Calibri" w:eastAsia="Calibri" w:hAnsi="Calibri" w:cs="Calibri"/>
              <w:spacing w:val="1"/>
              <w:sz w:val="20"/>
              <w:szCs w:val="20"/>
            </w:rPr>
            <w:t>oup</w:t>
          </w:r>
          <w:r>
            <w:rPr>
              <w:rFonts w:ascii="Calibri" w:eastAsia="Calibri" w:hAnsi="Calibri" w:cs="Calibri"/>
              <w:sz w:val="20"/>
              <w:szCs w:val="20"/>
            </w:rPr>
            <w:t>:</w:t>
          </w:r>
          <w:r>
            <w:rPr>
              <w:rFonts w:ascii="Times New Roman" w:eastAsia="Times New Roman" w:hAnsi="Times New Roman" w:cs="Times New Roman"/>
              <w:sz w:val="20"/>
              <w:szCs w:val="20"/>
            </w:rPr>
            <w:t xml:space="preserve"> </w:t>
          </w:r>
        </w:p>
        <w:p w14:paraId="21EF8632" w14:textId="3FAB90D9" w:rsidR="009C58A2" w:rsidRPr="006670B3" w:rsidRDefault="009C58A2" w:rsidP="009C58A2">
          <w:pPr>
            <w:spacing w:after="0" w:line="242" w:lineRule="exact"/>
            <w:ind w:left="97" w:right="73"/>
            <w:rPr>
              <w:rFonts w:ascii="Calibri" w:eastAsia="Calibri" w:hAnsi="Calibri" w:cs="Calibri"/>
              <w:i/>
              <w:sz w:val="20"/>
              <w:szCs w:val="20"/>
            </w:rPr>
          </w:pPr>
          <w:r>
            <w:rPr>
              <w:rFonts w:ascii="Calibri" w:eastAsia="Calibri" w:hAnsi="Calibri" w:cs="Calibri"/>
              <w:i/>
              <w:spacing w:val="1"/>
              <w:sz w:val="20"/>
              <w:szCs w:val="20"/>
            </w:rPr>
            <w:t>Emerging Trends &amp; Technologies</w:t>
          </w:r>
        </w:p>
      </w:tc>
    </w:tr>
  </w:tbl>
  <w:p w14:paraId="650E210C" w14:textId="77777777" w:rsidR="00F81C9D" w:rsidRDefault="00F8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694EE9E"/>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8"/>
    <w:multiLevelType w:val="singleLevel"/>
    <w:tmpl w:val="7F7AD64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22A72A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8E2E14"/>
    <w:multiLevelType w:val="hybridMultilevel"/>
    <w:tmpl w:val="5EC41EE6"/>
    <w:lvl w:ilvl="0" w:tplc="906849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A75776"/>
    <w:multiLevelType w:val="hybridMultilevel"/>
    <w:tmpl w:val="16529D4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8E7324"/>
    <w:multiLevelType w:val="hybridMultilevel"/>
    <w:tmpl w:val="7DAC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42666"/>
    <w:multiLevelType w:val="hybridMultilevel"/>
    <w:tmpl w:val="11A659BA"/>
    <w:lvl w:ilvl="0" w:tplc="B13CCC38">
      <w:start w:val="1"/>
      <w:numFmt w:val="bullet"/>
      <w:lvlText w:val=""/>
      <w:lvlJc w:val="left"/>
      <w:pPr>
        <w:ind w:left="720" w:hanging="360"/>
      </w:pPr>
      <w:rPr>
        <w:rFonts w:ascii="Symbol" w:hAnsi="Symbol" w:hint="default"/>
      </w:rPr>
    </w:lvl>
    <w:lvl w:ilvl="1" w:tplc="0188192C">
      <w:start w:val="1"/>
      <w:numFmt w:val="bullet"/>
      <w:lvlText w:val="o"/>
      <w:lvlJc w:val="left"/>
      <w:pPr>
        <w:ind w:left="1440" w:hanging="360"/>
      </w:pPr>
      <w:rPr>
        <w:rFonts w:ascii="Courier New" w:hAnsi="Courier New" w:hint="default"/>
      </w:rPr>
    </w:lvl>
    <w:lvl w:ilvl="2" w:tplc="F6084A9E">
      <w:start w:val="1"/>
      <w:numFmt w:val="bullet"/>
      <w:lvlText w:val=""/>
      <w:lvlJc w:val="left"/>
      <w:pPr>
        <w:ind w:left="2160" w:hanging="360"/>
      </w:pPr>
      <w:rPr>
        <w:rFonts w:ascii="Wingdings" w:hAnsi="Wingdings" w:hint="default"/>
      </w:rPr>
    </w:lvl>
    <w:lvl w:ilvl="3" w:tplc="0B32E27C">
      <w:start w:val="1"/>
      <w:numFmt w:val="bullet"/>
      <w:lvlText w:val=""/>
      <w:lvlJc w:val="left"/>
      <w:pPr>
        <w:ind w:left="2880" w:hanging="360"/>
      </w:pPr>
      <w:rPr>
        <w:rFonts w:ascii="Symbol" w:hAnsi="Symbol" w:hint="default"/>
      </w:rPr>
    </w:lvl>
    <w:lvl w:ilvl="4" w:tplc="2DC089B2">
      <w:start w:val="1"/>
      <w:numFmt w:val="bullet"/>
      <w:lvlText w:val="o"/>
      <w:lvlJc w:val="left"/>
      <w:pPr>
        <w:ind w:left="3600" w:hanging="360"/>
      </w:pPr>
      <w:rPr>
        <w:rFonts w:ascii="Courier New" w:hAnsi="Courier New" w:hint="default"/>
      </w:rPr>
    </w:lvl>
    <w:lvl w:ilvl="5" w:tplc="1AD49E60">
      <w:start w:val="1"/>
      <w:numFmt w:val="bullet"/>
      <w:lvlText w:val=""/>
      <w:lvlJc w:val="left"/>
      <w:pPr>
        <w:ind w:left="4320" w:hanging="360"/>
      </w:pPr>
      <w:rPr>
        <w:rFonts w:ascii="Wingdings" w:hAnsi="Wingdings" w:hint="default"/>
      </w:rPr>
    </w:lvl>
    <w:lvl w:ilvl="6" w:tplc="459CD798">
      <w:start w:val="1"/>
      <w:numFmt w:val="bullet"/>
      <w:lvlText w:val=""/>
      <w:lvlJc w:val="left"/>
      <w:pPr>
        <w:ind w:left="5040" w:hanging="360"/>
      </w:pPr>
      <w:rPr>
        <w:rFonts w:ascii="Symbol" w:hAnsi="Symbol" w:hint="default"/>
      </w:rPr>
    </w:lvl>
    <w:lvl w:ilvl="7" w:tplc="86AAAF6C">
      <w:start w:val="1"/>
      <w:numFmt w:val="bullet"/>
      <w:lvlText w:val="o"/>
      <w:lvlJc w:val="left"/>
      <w:pPr>
        <w:ind w:left="5760" w:hanging="360"/>
      </w:pPr>
      <w:rPr>
        <w:rFonts w:ascii="Courier New" w:hAnsi="Courier New" w:hint="default"/>
      </w:rPr>
    </w:lvl>
    <w:lvl w:ilvl="8" w:tplc="5406D2D8">
      <w:start w:val="1"/>
      <w:numFmt w:val="bullet"/>
      <w:lvlText w:val=""/>
      <w:lvlJc w:val="left"/>
      <w:pPr>
        <w:ind w:left="6480" w:hanging="360"/>
      </w:pPr>
      <w:rPr>
        <w:rFonts w:ascii="Wingdings" w:hAnsi="Wingdings" w:hint="default"/>
      </w:rPr>
    </w:lvl>
  </w:abstractNum>
  <w:abstractNum w:abstractNumId="7" w15:restartNumberingAfterBreak="0">
    <w:nsid w:val="1255014A"/>
    <w:multiLevelType w:val="hybridMultilevel"/>
    <w:tmpl w:val="482652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6D01D6"/>
    <w:multiLevelType w:val="hybridMultilevel"/>
    <w:tmpl w:val="4D24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CC4EAC"/>
    <w:multiLevelType w:val="hybridMultilevel"/>
    <w:tmpl w:val="87A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89F"/>
    <w:multiLevelType w:val="hybridMultilevel"/>
    <w:tmpl w:val="5E2C47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D116E7"/>
    <w:multiLevelType w:val="hybridMultilevel"/>
    <w:tmpl w:val="ADBA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E7CFF"/>
    <w:multiLevelType w:val="hybridMultilevel"/>
    <w:tmpl w:val="4EB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3B05A"/>
    <w:multiLevelType w:val="hybridMultilevel"/>
    <w:tmpl w:val="FFFFFFFF"/>
    <w:lvl w:ilvl="0" w:tplc="C0482F5C">
      <w:start w:val="1"/>
      <w:numFmt w:val="bullet"/>
      <w:lvlText w:val=""/>
      <w:lvlJc w:val="left"/>
      <w:pPr>
        <w:ind w:left="720" w:hanging="360"/>
      </w:pPr>
      <w:rPr>
        <w:rFonts w:ascii="Symbol" w:hAnsi="Symbol" w:hint="default"/>
      </w:rPr>
    </w:lvl>
    <w:lvl w:ilvl="1" w:tplc="58F2AD68">
      <w:start w:val="1"/>
      <w:numFmt w:val="bullet"/>
      <w:lvlText w:val="o"/>
      <w:lvlJc w:val="left"/>
      <w:pPr>
        <w:ind w:left="1440" w:hanging="360"/>
      </w:pPr>
      <w:rPr>
        <w:rFonts w:ascii="Courier New" w:hAnsi="Courier New" w:hint="default"/>
      </w:rPr>
    </w:lvl>
    <w:lvl w:ilvl="2" w:tplc="10AAD02A">
      <w:start w:val="1"/>
      <w:numFmt w:val="bullet"/>
      <w:lvlText w:val=""/>
      <w:lvlJc w:val="left"/>
      <w:pPr>
        <w:ind w:left="2160" w:hanging="360"/>
      </w:pPr>
      <w:rPr>
        <w:rFonts w:ascii="Wingdings" w:hAnsi="Wingdings" w:hint="default"/>
      </w:rPr>
    </w:lvl>
    <w:lvl w:ilvl="3" w:tplc="5C26A46A">
      <w:start w:val="1"/>
      <w:numFmt w:val="bullet"/>
      <w:lvlText w:val=""/>
      <w:lvlJc w:val="left"/>
      <w:pPr>
        <w:ind w:left="2880" w:hanging="360"/>
      </w:pPr>
      <w:rPr>
        <w:rFonts w:ascii="Symbol" w:hAnsi="Symbol" w:hint="default"/>
      </w:rPr>
    </w:lvl>
    <w:lvl w:ilvl="4" w:tplc="273EECA0">
      <w:start w:val="1"/>
      <w:numFmt w:val="bullet"/>
      <w:lvlText w:val="o"/>
      <w:lvlJc w:val="left"/>
      <w:pPr>
        <w:ind w:left="3600" w:hanging="360"/>
      </w:pPr>
      <w:rPr>
        <w:rFonts w:ascii="Courier New" w:hAnsi="Courier New" w:hint="default"/>
      </w:rPr>
    </w:lvl>
    <w:lvl w:ilvl="5" w:tplc="6ECE32C8">
      <w:start w:val="1"/>
      <w:numFmt w:val="bullet"/>
      <w:lvlText w:val=""/>
      <w:lvlJc w:val="left"/>
      <w:pPr>
        <w:ind w:left="4320" w:hanging="360"/>
      </w:pPr>
      <w:rPr>
        <w:rFonts w:ascii="Wingdings" w:hAnsi="Wingdings" w:hint="default"/>
      </w:rPr>
    </w:lvl>
    <w:lvl w:ilvl="6" w:tplc="8D02EAB8">
      <w:start w:val="1"/>
      <w:numFmt w:val="bullet"/>
      <w:lvlText w:val=""/>
      <w:lvlJc w:val="left"/>
      <w:pPr>
        <w:ind w:left="5040" w:hanging="360"/>
      </w:pPr>
      <w:rPr>
        <w:rFonts w:ascii="Symbol" w:hAnsi="Symbol" w:hint="default"/>
      </w:rPr>
    </w:lvl>
    <w:lvl w:ilvl="7" w:tplc="3C32D7D0">
      <w:start w:val="1"/>
      <w:numFmt w:val="bullet"/>
      <w:lvlText w:val="o"/>
      <w:lvlJc w:val="left"/>
      <w:pPr>
        <w:ind w:left="5760" w:hanging="360"/>
      </w:pPr>
      <w:rPr>
        <w:rFonts w:ascii="Courier New" w:hAnsi="Courier New" w:hint="default"/>
      </w:rPr>
    </w:lvl>
    <w:lvl w:ilvl="8" w:tplc="02385C7E">
      <w:start w:val="1"/>
      <w:numFmt w:val="bullet"/>
      <w:lvlText w:val=""/>
      <w:lvlJc w:val="left"/>
      <w:pPr>
        <w:ind w:left="6480" w:hanging="360"/>
      </w:pPr>
      <w:rPr>
        <w:rFonts w:ascii="Wingdings" w:hAnsi="Wingdings" w:hint="default"/>
      </w:rPr>
    </w:lvl>
  </w:abstractNum>
  <w:abstractNum w:abstractNumId="14" w15:restartNumberingAfterBreak="0">
    <w:nsid w:val="2588042D"/>
    <w:multiLevelType w:val="multilevel"/>
    <w:tmpl w:val="B14A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22D95"/>
    <w:multiLevelType w:val="hybridMultilevel"/>
    <w:tmpl w:val="EAE03560"/>
    <w:lvl w:ilvl="0" w:tplc="2AD2391C">
      <w:start w:val="1"/>
      <w:numFmt w:val="bullet"/>
      <w:lvlText w:val="•"/>
      <w:lvlJc w:val="left"/>
      <w:pPr>
        <w:tabs>
          <w:tab w:val="num" w:pos="720"/>
        </w:tabs>
        <w:ind w:left="720" w:hanging="360"/>
      </w:pPr>
      <w:rPr>
        <w:rFonts w:ascii="Arial" w:hAnsi="Arial" w:hint="default"/>
      </w:rPr>
    </w:lvl>
    <w:lvl w:ilvl="1" w:tplc="3A3A4794">
      <w:start w:val="1"/>
      <w:numFmt w:val="bullet"/>
      <w:lvlText w:val="•"/>
      <w:lvlJc w:val="left"/>
      <w:pPr>
        <w:tabs>
          <w:tab w:val="num" w:pos="1440"/>
        </w:tabs>
        <w:ind w:left="1440" w:hanging="360"/>
      </w:pPr>
      <w:rPr>
        <w:rFonts w:ascii="Arial" w:hAnsi="Arial" w:hint="default"/>
      </w:rPr>
    </w:lvl>
    <w:lvl w:ilvl="2" w:tplc="80361FBA" w:tentative="1">
      <w:start w:val="1"/>
      <w:numFmt w:val="bullet"/>
      <w:lvlText w:val="•"/>
      <w:lvlJc w:val="left"/>
      <w:pPr>
        <w:tabs>
          <w:tab w:val="num" w:pos="2160"/>
        </w:tabs>
        <w:ind w:left="2160" w:hanging="360"/>
      </w:pPr>
      <w:rPr>
        <w:rFonts w:ascii="Arial" w:hAnsi="Arial" w:hint="default"/>
      </w:rPr>
    </w:lvl>
    <w:lvl w:ilvl="3" w:tplc="6862DC9C" w:tentative="1">
      <w:start w:val="1"/>
      <w:numFmt w:val="bullet"/>
      <w:lvlText w:val="•"/>
      <w:lvlJc w:val="left"/>
      <w:pPr>
        <w:tabs>
          <w:tab w:val="num" w:pos="2880"/>
        </w:tabs>
        <w:ind w:left="2880" w:hanging="360"/>
      </w:pPr>
      <w:rPr>
        <w:rFonts w:ascii="Arial" w:hAnsi="Arial" w:hint="default"/>
      </w:rPr>
    </w:lvl>
    <w:lvl w:ilvl="4" w:tplc="0F3E164E" w:tentative="1">
      <w:start w:val="1"/>
      <w:numFmt w:val="bullet"/>
      <w:lvlText w:val="•"/>
      <w:lvlJc w:val="left"/>
      <w:pPr>
        <w:tabs>
          <w:tab w:val="num" w:pos="3600"/>
        </w:tabs>
        <w:ind w:left="3600" w:hanging="360"/>
      </w:pPr>
      <w:rPr>
        <w:rFonts w:ascii="Arial" w:hAnsi="Arial" w:hint="default"/>
      </w:rPr>
    </w:lvl>
    <w:lvl w:ilvl="5" w:tplc="05FAB0F2" w:tentative="1">
      <w:start w:val="1"/>
      <w:numFmt w:val="bullet"/>
      <w:lvlText w:val="•"/>
      <w:lvlJc w:val="left"/>
      <w:pPr>
        <w:tabs>
          <w:tab w:val="num" w:pos="4320"/>
        </w:tabs>
        <w:ind w:left="4320" w:hanging="360"/>
      </w:pPr>
      <w:rPr>
        <w:rFonts w:ascii="Arial" w:hAnsi="Arial" w:hint="default"/>
      </w:rPr>
    </w:lvl>
    <w:lvl w:ilvl="6" w:tplc="AE740F4A" w:tentative="1">
      <w:start w:val="1"/>
      <w:numFmt w:val="bullet"/>
      <w:lvlText w:val="•"/>
      <w:lvlJc w:val="left"/>
      <w:pPr>
        <w:tabs>
          <w:tab w:val="num" w:pos="5040"/>
        </w:tabs>
        <w:ind w:left="5040" w:hanging="360"/>
      </w:pPr>
      <w:rPr>
        <w:rFonts w:ascii="Arial" w:hAnsi="Arial" w:hint="default"/>
      </w:rPr>
    </w:lvl>
    <w:lvl w:ilvl="7" w:tplc="DE526C58" w:tentative="1">
      <w:start w:val="1"/>
      <w:numFmt w:val="bullet"/>
      <w:lvlText w:val="•"/>
      <w:lvlJc w:val="left"/>
      <w:pPr>
        <w:tabs>
          <w:tab w:val="num" w:pos="5760"/>
        </w:tabs>
        <w:ind w:left="5760" w:hanging="360"/>
      </w:pPr>
      <w:rPr>
        <w:rFonts w:ascii="Arial" w:hAnsi="Arial" w:hint="default"/>
      </w:rPr>
    </w:lvl>
    <w:lvl w:ilvl="8" w:tplc="DAB049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485C6A"/>
    <w:multiLevelType w:val="multilevel"/>
    <w:tmpl w:val="4658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115E"/>
    <w:multiLevelType w:val="hybridMultilevel"/>
    <w:tmpl w:val="0CC2A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84C5A"/>
    <w:multiLevelType w:val="hybridMultilevel"/>
    <w:tmpl w:val="ED3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2D47C"/>
    <w:multiLevelType w:val="hybridMultilevel"/>
    <w:tmpl w:val="FFFFFFFF"/>
    <w:lvl w:ilvl="0" w:tplc="CA42E1F8">
      <w:start w:val="1"/>
      <w:numFmt w:val="bullet"/>
      <w:lvlText w:val=""/>
      <w:lvlJc w:val="left"/>
      <w:pPr>
        <w:ind w:left="720" w:hanging="360"/>
      </w:pPr>
      <w:rPr>
        <w:rFonts w:ascii="Symbol" w:hAnsi="Symbol" w:hint="default"/>
      </w:rPr>
    </w:lvl>
    <w:lvl w:ilvl="1" w:tplc="89A85778">
      <w:start w:val="1"/>
      <w:numFmt w:val="bullet"/>
      <w:lvlText w:val="o"/>
      <w:lvlJc w:val="left"/>
      <w:pPr>
        <w:ind w:left="1440" w:hanging="360"/>
      </w:pPr>
      <w:rPr>
        <w:rFonts w:ascii="Courier New" w:hAnsi="Courier New" w:hint="default"/>
      </w:rPr>
    </w:lvl>
    <w:lvl w:ilvl="2" w:tplc="F74A6F78">
      <w:start w:val="1"/>
      <w:numFmt w:val="bullet"/>
      <w:lvlText w:val=""/>
      <w:lvlJc w:val="left"/>
      <w:pPr>
        <w:ind w:left="2160" w:hanging="360"/>
      </w:pPr>
      <w:rPr>
        <w:rFonts w:ascii="Wingdings" w:hAnsi="Wingdings" w:hint="default"/>
      </w:rPr>
    </w:lvl>
    <w:lvl w:ilvl="3" w:tplc="E7262866">
      <w:start w:val="1"/>
      <w:numFmt w:val="bullet"/>
      <w:lvlText w:val=""/>
      <w:lvlJc w:val="left"/>
      <w:pPr>
        <w:ind w:left="2880" w:hanging="360"/>
      </w:pPr>
      <w:rPr>
        <w:rFonts w:ascii="Symbol" w:hAnsi="Symbol" w:hint="default"/>
      </w:rPr>
    </w:lvl>
    <w:lvl w:ilvl="4" w:tplc="296C7C38">
      <w:start w:val="1"/>
      <w:numFmt w:val="bullet"/>
      <w:lvlText w:val="o"/>
      <w:lvlJc w:val="left"/>
      <w:pPr>
        <w:ind w:left="3600" w:hanging="360"/>
      </w:pPr>
      <w:rPr>
        <w:rFonts w:ascii="Courier New" w:hAnsi="Courier New" w:hint="default"/>
      </w:rPr>
    </w:lvl>
    <w:lvl w:ilvl="5" w:tplc="E1EA4AAE">
      <w:start w:val="1"/>
      <w:numFmt w:val="bullet"/>
      <w:lvlText w:val=""/>
      <w:lvlJc w:val="left"/>
      <w:pPr>
        <w:ind w:left="4320" w:hanging="360"/>
      </w:pPr>
      <w:rPr>
        <w:rFonts w:ascii="Wingdings" w:hAnsi="Wingdings" w:hint="default"/>
      </w:rPr>
    </w:lvl>
    <w:lvl w:ilvl="6" w:tplc="77F2F614">
      <w:start w:val="1"/>
      <w:numFmt w:val="bullet"/>
      <w:lvlText w:val=""/>
      <w:lvlJc w:val="left"/>
      <w:pPr>
        <w:ind w:left="5040" w:hanging="360"/>
      </w:pPr>
      <w:rPr>
        <w:rFonts w:ascii="Symbol" w:hAnsi="Symbol" w:hint="default"/>
      </w:rPr>
    </w:lvl>
    <w:lvl w:ilvl="7" w:tplc="22243D10">
      <w:start w:val="1"/>
      <w:numFmt w:val="bullet"/>
      <w:lvlText w:val="o"/>
      <w:lvlJc w:val="left"/>
      <w:pPr>
        <w:ind w:left="5760" w:hanging="360"/>
      </w:pPr>
      <w:rPr>
        <w:rFonts w:ascii="Courier New" w:hAnsi="Courier New" w:hint="default"/>
      </w:rPr>
    </w:lvl>
    <w:lvl w:ilvl="8" w:tplc="1F905594">
      <w:start w:val="1"/>
      <w:numFmt w:val="bullet"/>
      <w:lvlText w:val=""/>
      <w:lvlJc w:val="left"/>
      <w:pPr>
        <w:ind w:left="6480" w:hanging="360"/>
      </w:pPr>
      <w:rPr>
        <w:rFonts w:ascii="Wingdings" w:hAnsi="Wingdings" w:hint="default"/>
      </w:rPr>
    </w:lvl>
  </w:abstractNum>
  <w:abstractNum w:abstractNumId="20" w15:restartNumberingAfterBreak="0">
    <w:nsid w:val="3B0A2E9C"/>
    <w:multiLevelType w:val="hybridMultilevel"/>
    <w:tmpl w:val="A118A3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08324A"/>
    <w:multiLevelType w:val="hybridMultilevel"/>
    <w:tmpl w:val="00F06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343141"/>
    <w:multiLevelType w:val="multilevel"/>
    <w:tmpl w:val="A36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71688"/>
    <w:multiLevelType w:val="multilevel"/>
    <w:tmpl w:val="38D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A664C"/>
    <w:multiLevelType w:val="hybridMultilevel"/>
    <w:tmpl w:val="BABC4BB0"/>
    <w:lvl w:ilvl="0" w:tplc="9604815A">
      <w:start w:val="1"/>
      <w:numFmt w:val="upperLetter"/>
      <w:pStyle w:val="Appendix1"/>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8033E"/>
    <w:multiLevelType w:val="hybridMultilevel"/>
    <w:tmpl w:val="6FCC793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15759"/>
    <w:multiLevelType w:val="hybridMultilevel"/>
    <w:tmpl w:val="89FE71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F039F"/>
    <w:multiLevelType w:val="hybridMultilevel"/>
    <w:tmpl w:val="21C6FF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70F3D35"/>
    <w:multiLevelType w:val="hybridMultilevel"/>
    <w:tmpl w:val="BF9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E0376"/>
    <w:multiLevelType w:val="hybridMultilevel"/>
    <w:tmpl w:val="CB30837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B25A7"/>
    <w:multiLevelType w:val="hybridMultilevel"/>
    <w:tmpl w:val="67C0B83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D7B14"/>
    <w:multiLevelType w:val="hybridMultilevel"/>
    <w:tmpl w:val="0A0CCD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701AC"/>
    <w:multiLevelType w:val="multilevel"/>
    <w:tmpl w:val="95E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A7E81"/>
    <w:multiLevelType w:val="multilevel"/>
    <w:tmpl w:val="FA6E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61354"/>
    <w:multiLevelType w:val="hybridMultilevel"/>
    <w:tmpl w:val="47B2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46766"/>
    <w:multiLevelType w:val="hybridMultilevel"/>
    <w:tmpl w:val="07E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232F0"/>
    <w:multiLevelType w:val="hybridMultilevel"/>
    <w:tmpl w:val="AB7E74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33DB6"/>
    <w:multiLevelType w:val="hybridMultilevel"/>
    <w:tmpl w:val="4D2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5041E"/>
    <w:multiLevelType w:val="hybridMultilevel"/>
    <w:tmpl w:val="346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23CD9"/>
    <w:multiLevelType w:val="hybridMultilevel"/>
    <w:tmpl w:val="97D4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321D6"/>
    <w:multiLevelType w:val="multilevel"/>
    <w:tmpl w:val="774E6E46"/>
    <w:lvl w:ilvl="0">
      <w:start w:val="1"/>
      <w:numFmt w:val="bullet"/>
      <w:lvlText w:val=""/>
      <w:lvlJc w:val="left"/>
      <w:pPr>
        <w:ind w:left="1699" w:hanging="1699"/>
      </w:pPr>
      <w:rPr>
        <w:rFonts w:ascii="Symbol" w:hAnsi="Symbol" w:hint="default"/>
      </w:rPr>
    </w:lvl>
    <w:lvl w:ilvl="1">
      <w:start w:val="1"/>
      <w:numFmt w:val="decimal"/>
      <w:lvlText w:val="%1.%2"/>
      <w:lvlJc w:val="left"/>
      <w:pPr>
        <w:ind w:left="1699" w:hanging="1699"/>
      </w:pPr>
      <w:rPr>
        <w:rFonts w:hint="default"/>
      </w:rPr>
    </w:lvl>
    <w:lvl w:ilvl="2">
      <w:start w:val="1"/>
      <w:numFmt w:val="decimal"/>
      <w:lvlText w:val="%1.%2.%3"/>
      <w:lvlJc w:val="left"/>
      <w:pPr>
        <w:ind w:left="1699" w:hanging="1699"/>
      </w:pPr>
      <w:rPr>
        <w:rFonts w:hint="default"/>
      </w:rPr>
    </w:lvl>
    <w:lvl w:ilvl="3">
      <w:start w:val="1"/>
      <w:numFmt w:val="decimal"/>
      <w:lvlText w:val="%1.%2.%3.%4"/>
      <w:lvlJc w:val="left"/>
      <w:pPr>
        <w:ind w:left="1699" w:hanging="1699"/>
      </w:pPr>
      <w:rPr>
        <w:rFonts w:hint="default"/>
      </w:rPr>
    </w:lvl>
    <w:lvl w:ilvl="4">
      <w:start w:val="1"/>
      <w:numFmt w:val="decimal"/>
      <w:lvlText w:val="%1.%2.%3.%4.%5"/>
      <w:lvlJc w:val="left"/>
      <w:pPr>
        <w:ind w:left="1699" w:hanging="1699"/>
      </w:pPr>
      <w:rPr>
        <w:rFonts w:hint="default"/>
      </w:rPr>
    </w:lvl>
    <w:lvl w:ilvl="5">
      <w:start w:val="1"/>
      <w:numFmt w:val="decimal"/>
      <w:lvlText w:val="%1.%2.%3.%4.%5.%6"/>
      <w:lvlJc w:val="left"/>
      <w:pPr>
        <w:ind w:left="1699" w:hanging="1699"/>
      </w:pPr>
      <w:rPr>
        <w:rFonts w:hint="default"/>
      </w:rPr>
    </w:lvl>
    <w:lvl w:ilvl="6">
      <w:start w:val="1"/>
      <w:numFmt w:val="decimal"/>
      <w:lvlText w:val="%1.%2.%3.%4.%5.%6.%7"/>
      <w:lvlJc w:val="left"/>
      <w:pPr>
        <w:ind w:left="1699" w:hanging="1699"/>
      </w:pPr>
      <w:rPr>
        <w:rFonts w:hint="default"/>
      </w:rPr>
    </w:lvl>
    <w:lvl w:ilvl="7">
      <w:start w:val="1"/>
      <w:numFmt w:val="decimal"/>
      <w:lvlText w:val="%1.%2.%3.%4.%5.%6.%7.%8"/>
      <w:lvlJc w:val="left"/>
      <w:pPr>
        <w:ind w:left="1699" w:hanging="1699"/>
      </w:pPr>
      <w:rPr>
        <w:rFonts w:hint="default"/>
      </w:rPr>
    </w:lvl>
    <w:lvl w:ilvl="8">
      <w:start w:val="1"/>
      <w:numFmt w:val="decimal"/>
      <w:lvlText w:val="%1.%2.%3.%4.%5.%6.%7.%8.%9"/>
      <w:lvlJc w:val="left"/>
      <w:pPr>
        <w:ind w:left="1699" w:hanging="1699"/>
      </w:pPr>
      <w:rPr>
        <w:rFonts w:hint="default"/>
      </w:rPr>
    </w:lvl>
  </w:abstractNum>
  <w:abstractNum w:abstractNumId="41" w15:restartNumberingAfterBreak="0">
    <w:nsid w:val="5E663142"/>
    <w:multiLevelType w:val="hybridMultilevel"/>
    <w:tmpl w:val="73FE6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66510A"/>
    <w:multiLevelType w:val="hybridMultilevel"/>
    <w:tmpl w:val="5EC41EE6"/>
    <w:lvl w:ilvl="0" w:tplc="906849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43331F"/>
    <w:multiLevelType w:val="multilevel"/>
    <w:tmpl w:val="D8A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77D28"/>
    <w:multiLevelType w:val="multilevel"/>
    <w:tmpl w:val="5BDA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0C3A5D"/>
    <w:multiLevelType w:val="hybridMultilevel"/>
    <w:tmpl w:val="9B9E95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46" w15:restartNumberingAfterBreak="0">
    <w:nsid w:val="6E8B0B6F"/>
    <w:multiLevelType w:val="multilevel"/>
    <w:tmpl w:val="C94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ED59B8"/>
    <w:multiLevelType w:val="multilevel"/>
    <w:tmpl w:val="4880E4E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6FE4AE8"/>
    <w:multiLevelType w:val="hybridMultilevel"/>
    <w:tmpl w:val="C7D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93252"/>
    <w:multiLevelType w:val="multilevel"/>
    <w:tmpl w:val="B6AA45EA"/>
    <w:lvl w:ilvl="0">
      <w:start w:val="1"/>
      <w:numFmt w:val="decimal"/>
      <w:pStyle w:val="Heading1"/>
      <w:lvlText w:val="%1"/>
      <w:lvlJc w:val="left"/>
      <w:pPr>
        <w:ind w:left="1699" w:hanging="1699"/>
      </w:pPr>
      <w:rPr>
        <w:rFonts w:hint="default"/>
      </w:rPr>
    </w:lvl>
    <w:lvl w:ilvl="1">
      <w:start w:val="1"/>
      <w:numFmt w:val="decimal"/>
      <w:pStyle w:val="Heading2"/>
      <w:lvlText w:val="%1.%2"/>
      <w:lvlJc w:val="left"/>
      <w:pPr>
        <w:ind w:left="1699" w:hanging="1699"/>
      </w:pPr>
      <w:rPr>
        <w:rFonts w:hint="default"/>
      </w:rPr>
    </w:lvl>
    <w:lvl w:ilvl="2">
      <w:start w:val="1"/>
      <w:numFmt w:val="decimal"/>
      <w:pStyle w:val="Heading3"/>
      <w:lvlText w:val="%1.%2.%3"/>
      <w:lvlJc w:val="left"/>
      <w:pPr>
        <w:ind w:left="1699" w:hanging="1699"/>
      </w:pPr>
    </w:lvl>
    <w:lvl w:ilvl="3">
      <w:start w:val="1"/>
      <w:numFmt w:val="decimal"/>
      <w:pStyle w:val="Heading4"/>
      <w:lvlText w:val="%1.%2.%3.%4"/>
      <w:lvlJc w:val="left"/>
      <w:pPr>
        <w:ind w:left="1699" w:hanging="1699"/>
      </w:pPr>
      <w:rPr>
        <w:rFonts w:hint="default"/>
      </w:rPr>
    </w:lvl>
    <w:lvl w:ilvl="4">
      <w:start w:val="1"/>
      <w:numFmt w:val="decimal"/>
      <w:pStyle w:val="Heading5"/>
      <w:lvlText w:val="%1.%2.%3.%4.%5"/>
      <w:lvlJc w:val="left"/>
      <w:pPr>
        <w:ind w:left="1699" w:hanging="1699"/>
      </w:pPr>
      <w:rPr>
        <w:rFonts w:hint="default"/>
      </w:rPr>
    </w:lvl>
    <w:lvl w:ilvl="5">
      <w:start w:val="1"/>
      <w:numFmt w:val="decimal"/>
      <w:pStyle w:val="Heading6"/>
      <w:lvlText w:val="%1.%2.%3.%4.%5.%6"/>
      <w:lvlJc w:val="left"/>
      <w:pPr>
        <w:ind w:left="1699" w:hanging="1699"/>
      </w:pPr>
      <w:rPr>
        <w:rFonts w:hint="default"/>
      </w:rPr>
    </w:lvl>
    <w:lvl w:ilvl="6">
      <w:start w:val="1"/>
      <w:numFmt w:val="decimal"/>
      <w:pStyle w:val="Heading7"/>
      <w:lvlText w:val="%1.%2.%3.%4.%5.%6.%7"/>
      <w:lvlJc w:val="left"/>
      <w:pPr>
        <w:ind w:left="1699" w:hanging="1699"/>
      </w:pPr>
      <w:rPr>
        <w:rFonts w:hint="default"/>
      </w:rPr>
    </w:lvl>
    <w:lvl w:ilvl="7">
      <w:start w:val="1"/>
      <w:numFmt w:val="decimal"/>
      <w:pStyle w:val="Heading8"/>
      <w:lvlText w:val="%1.%2.%3.%4.%5.%6.%7.%8"/>
      <w:lvlJc w:val="left"/>
      <w:pPr>
        <w:ind w:left="1699" w:hanging="1699"/>
      </w:pPr>
      <w:rPr>
        <w:rFonts w:hint="default"/>
      </w:rPr>
    </w:lvl>
    <w:lvl w:ilvl="8">
      <w:start w:val="1"/>
      <w:numFmt w:val="decimal"/>
      <w:pStyle w:val="Heading9"/>
      <w:lvlText w:val="%1.%2.%3.%4.%5.%6.%7.%8.%9"/>
      <w:lvlJc w:val="left"/>
      <w:pPr>
        <w:ind w:left="1699" w:hanging="1699"/>
      </w:pPr>
      <w:rPr>
        <w:rFonts w:hint="default"/>
      </w:rPr>
    </w:lvl>
  </w:abstractNum>
  <w:abstractNum w:abstractNumId="50" w15:restartNumberingAfterBreak="0">
    <w:nsid w:val="77AD7A72"/>
    <w:multiLevelType w:val="multilevel"/>
    <w:tmpl w:val="7984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9D028D"/>
    <w:multiLevelType w:val="hybridMultilevel"/>
    <w:tmpl w:val="2F2A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382E79"/>
    <w:multiLevelType w:val="hybridMultilevel"/>
    <w:tmpl w:val="FF1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10503"/>
    <w:multiLevelType w:val="hybridMultilevel"/>
    <w:tmpl w:val="218A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401EB7"/>
    <w:multiLevelType w:val="hybridMultilevel"/>
    <w:tmpl w:val="A2204A98"/>
    <w:lvl w:ilvl="0" w:tplc="88D6E7B4">
      <w:start w:val="1"/>
      <w:numFmt w:val="bullet"/>
      <w:pStyle w:val="ListCheckboxItem"/>
      <w:lvlText w:val="□"/>
      <w:lvlJc w:val="left"/>
      <w:pPr>
        <w:ind w:left="36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D9092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5417636">
    <w:abstractNumId w:val="6"/>
  </w:num>
  <w:num w:numId="2" w16cid:durableId="1037043746">
    <w:abstractNumId w:val="55"/>
  </w:num>
  <w:num w:numId="3" w16cid:durableId="474493850">
    <w:abstractNumId w:val="13"/>
  </w:num>
  <w:num w:numId="4" w16cid:durableId="1642535967">
    <w:abstractNumId w:val="19"/>
  </w:num>
  <w:num w:numId="5" w16cid:durableId="1515152536">
    <w:abstractNumId w:val="2"/>
  </w:num>
  <w:num w:numId="6" w16cid:durableId="1726097964">
    <w:abstractNumId w:val="0"/>
  </w:num>
  <w:num w:numId="7" w16cid:durableId="771825362">
    <w:abstractNumId w:val="1"/>
  </w:num>
  <w:num w:numId="8" w16cid:durableId="345333613">
    <w:abstractNumId w:val="49"/>
  </w:num>
  <w:num w:numId="9" w16cid:durableId="79522269">
    <w:abstractNumId w:val="54"/>
  </w:num>
  <w:num w:numId="10" w16cid:durableId="106243033">
    <w:abstractNumId w:val="24"/>
  </w:num>
  <w:num w:numId="11" w16cid:durableId="992294493">
    <w:abstractNumId w:val="45"/>
  </w:num>
  <w:num w:numId="12" w16cid:durableId="1957517460">
    <w:abstractNumId w:val="21"/>
  </w:num>
  <w:num w:numId="13" w16cid:durableId="206071111">
    <w:abstractNumId w:val="51"/>
  </w:num>
  <w:num w:numId="14" w16cid:durableId="997878039">
    <w:abstractNumId w:val="4"/>
  </w:num>
  <w:num w:numId="15" w16cid:durableId="229774109">
    <w:abstractNumId w:val="28"/>
  </w:num>
  <w:num w:numId="16" w16cid:durableId="2017682419">
    <w:abstractNumId w:val="9"/>
  </w:num>
  <w:num w:numId="17" w16cid:durableId="1892110825">
    <w:abstractNumId w:val="5"/>
  </w:num>
  <w:num w:numId="18" w16cid:durableId="1046491070">
    <w:abstractNumId w:val="11"/>
  </w:num>
  <w:num w:numId="19" w16cid:durableId="2125686489">
    <w:abstractNumId w:val="38"/>
  </w:num>
  <w:num w:numId="20" w16cid:durableId="1047949077">
    <w:abstractNumId w:val="12"/>
  </w:num>
  <w:num w:numId="21" w16cid:durableId="1377967363">
    <w:abstractNumId w:val="41"/>
  </w:num>
  <w:num w:numId="22" w16cid:durableId="1540244737">
    <w:abstractNumId w:val="15"/>
  </w:num>
  <w:num w:numId="23" w16cid:durableId="1690525046">
    <w:abstractNumId w:val="34"/>
  </w:num>
  <w:num w:numId="24" w16cid:durableId="1047609661">
    <w:abstractNumId w:val="18"/>
  </w:num>
  <w:num w:numId="25" w16cid:durableId="2075660665">
    <w:abstractNumId w:val="35"/>
  </w:num>
  <w:num w:numId="26" w16cid:durableId="1496728243">
    <w:abstractNumId w:val="3"/>
  </w:num>
  <w:num w:numId="27" w16cid:durableId="1217164257">
    <w:abstractNumId w:val="30"/>
  </w:num>
  <w:num w:numId="28" w16cid:durableId="1156338914">
    <w:abstractNumId w:val="31"/>
  </w:num>
  <w:num w:numId="29" w16cid:durableId="1141314706">
    <w:abstractNumId w:val="25"/>
  </w:num>
  <w:num w:numId="30" w16cid:durableId="1631009361">
    <w:abstractNumId w:val="29"/>
  </w:num>
  <w:num w:numId="31" w16cid:durableId="1445422842">
    <w:abstractNumId w:val="26"/>
  </w:num>
  <w:num w:numId="32" w16cid:durableId="1174800795">
    <w:abstractNumId w:val="42"/>
  </w:num>
  <w:num w:numId="33" w16cid:durableId="800802220">
    <w:abstractNumId w:val="8"/>
  </w:num>
  <w:num w:numId="34" w16cid:durableId="1503428077">
    <w:abstractNumId w:val="36"/>
  </w:num>
  <w:num w:numId="35" w16cid:durableId="300699412">
    <w:abstractNumId w:val="4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1995511">
    <w:abstractNumId w:val="4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6979139">
    <w:abstractNumId w:val="40"/>
  </w:num>
  <w:num w:numId="38" w16cid:durableId="533465934">
    <w:abstractNumId w:val="17"/>
  </w:num>
  <w:num w:numId="39" w16cid:durableId="1744912517">
    <w:abstractNumId w:val="53"/>
  </w:num>
  <w:num w:numId="40" w16cid:durableId="1995064457">
    <w:abstractNumId w:val="52"/>
  </w:num>
  <w:num w:numId="41" w16cid:durableId="809320685">
    <w:abstractNumId w:val="48"/>
  </w:num>
  <w:num w:numId="42" w16cid:durableId="812794252">
    <w:abstractNumId w:val="39"/>
  </w:num>
  <w:num w:numId="43" w16cid:durableId="576086745">
    <w:abstractNumId w:val="37"/>
  </w:num>
  <w:num w:numId="44" w16cid:durableId="1957984725">
    <w:abstractNumId w:val="47"/>
  </w:num>
  <w:num w:numId="45" w16cid:durableId="1590040600">
    <w:abstractNumId w:val="7"/>
  </w:num>
  <w:num w:numId="46" w16cid:durableId="647173953">
    <w:abstractNumId w:val="14"/>
  </w:num>
  <w:num w:numId="47" w16cid:durableId="1424573788">
    <w:abstractNumId w:val="46"/>
  </w:num>
  <w:num w:numId="48" w16cid:durableId="696855304">
    <w:abstractNumId w:val="22"/>
  </w:num>
  <w:num w:numId="49" w16cid:durableId="380715127">
    <w:abstractNumId w:val="32"/>
  </w:num>
  <w:num w:numId="50" w16cid:durableId="1752189784">
    <w:abstractNumId w:val="23"/>
  </w:num>
  <w:num w:numId="51" w16cid:durableId="751896187">
    <w:abstractNumId w:val="50"/>
  </w:num>
  <w:num w:numId="52" w16cid:durableId="1253080151">
    <w:abstractNumId w:val="44"/>
  </w:num>
  <w:num w:numId="53" w16cid:durableId="1973359402">
    <w:abstractNumId w:val="43"/>
  </w:num>
  <w:num w:numId="54" w16cid:durableId="1586575435">
    <w:abstractNumId w:val="16"/>
  </w:num>
  <w:num w:numId="55" w16cid:durableId="1415518029">
    <w:abstractNumId w:val="33"/>
  </w:num>
  <w:num w:numId="56" w16cid:durableId="1845704337">
    <w:abstractNumId w:val="10"/>
  </w:num>
  <w:num w:numId="57" w16cid:durableId="1048183910">
    <w:abstractNumId w:val="20"/>
  </w:num>
  <w:num w:numId="58" w16cid:durableId="212048994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AE"/>
    <w:rsid w:val="000021F2"/>
    <w:rsid w:val="000034B9"/>
    <w:rsid w:val="00005BF8"/>
    <w:rsid w:val="00010265"/>
    <w:rsid w:val="0001044D"/>
    <w:rsid w:val="00014A8C"/>
    <w:rsid w:val="000155E0"/>
    <w:rsid w:val="000247D9"/>
    <w:rsid w:val="00032D7B"/>
    <w:rsid w:val="0003595C"/>
    <w:rsid w:val="0003621E"/>
    <w:rsid w:val="00041D9E"/>
    <w:rsid w:val="00042C11"/>
    <w:rsid w:val="0005056B"/>
    <w:rsid w:val="00052F62"/>
    <w:rsid w:val="00055F6E"/>
    <w:rsid w:val="00060764"/>
    <w:rsid w:val="000629F7"/>
    <w:rsid w:val="00063884"/>
    <w:rsid w:val="00067B62"/>
    <w:rsid w:val="00070B9F"/>
    <w:rsid w:val="000729D6"/>
    <w:rsid w:val="000757AB"/>
    <w:rsid w:val="00075E3D"/>
    <w:rsid w:val="000773E1"/>
    <w:rsid w:val="00077A13"/>
    <w:rsid w:val="0009295C"/>
    <w:rsid w:val="00093784"/>
    <w:rsid w:val="00096006"/>
    <w:rsid w:val="000A2ECC"/>
    <w:rsid w:val="000A36A2"/>
    <w:rsid w:val="000A436D"/>
    <w:rsid w:val="000A4C84"/>
    <w:rsid w:val="000A5293"/>
    <w:rsid w:val="000B585E"/>
    <w:rsid w:val="000B6783"/>
    <w:rsid w:val="000C2D58"/>
    <w:rsid w:val="000C6528"/>
    <w:rsid w:val="000D0249"/>
    <w:rsid w:val="000D25F7"/>
    <w:rsid w:val="000D2BD9"/>
    <w:rsid w:val="000D6A98"/>
    <w:rsid w:val="000E4822"/>
    <w:rsid w:val="000F349C"/>
    <w:rsid w:val="000F3B43"/>
    <w:rsid w:val="000F539B"/>
    <w:rsid w:val="000F5E54"/>
    <w:rsid w:val="001011B1"/>
    <w:rsid w:val="0010192F"/>
    <w:rsid w:val="001028A0"/>
    <w:rsid w:val="00102B5C"/>
    <w:rsid w:val="00110F4B"/>
    <w:rsid w:val="001235E9"/>
    <w:rsid w:val="00123AD8"/>
    <w:rsid w:val="001277C8"/>
    <w:rsid w:val="00133A26"/>
    <w:rsid w:val="00133C47"/>
    <w:rsid w:val="001362D5"/>
    <w:rsid w:val="0013690C"/>
    <w:rsid w:val="0014128B"/>
    <w:rsid w:val="00142275"/>
    <w:rsid w:val="00143468"/>
    <w:rsid w:val="00150B35"/>
    <w:rsid w:val="00162008"/>
    <w:rsid w:val="00162439"/>
    <w:rsid w:val="001634BD"/>
    <w:rsid w:val="00164670"/>
    <w:rsid w:val="00164870"/>
    <w:rsid w:val="00166663"/>
    <w:rsid w:val="00166DC5"/>
    <w:rsid w:val="00171ADA"/>
    <w:rsid w:val="00174FEA"/>
    <w:rsid w:val="001874ED"/>
    <w:rsid w:val="00191275"/>
    <w:rsid w:val="0019281F"/>
    <w:rsid w:val="0019303E"/>
    <w:rsid w:val="00193381"/>
    <w:rsid w:val="0019787C"/>
    <w:rsid w:val="001A0547"/>
    <w:rsid w:val="001A24D9"/>
    <w:rsid w:val="001A59E9"/>
    <w:rsid w:val="001A5FA4"/>
    <w:rsid w:val="001A6BED"/>
    <w:rsid w:val="001B185B"/>
    <w:rsid w:val="001B5BDD"/>
    <w:rsid w:val="001B6602"/>
    <w:rsid w:val="001C3745"/>
    <w:rsid w:val="001C69A8"/>
    <w:rsid w:val="001D2718"/>
    <w:rsid w:val="001D3594"/>
    <w:rsid w:val="001D41DB"/>
    <w:rsid w:val="001D765D"/>
    <w:rsid w:val="001E4546"/>
    <w:rsid w:val="001E4B94"/>
    <w:rsid w:val="001E62E8"/>
    <w:rsid w:val="001E6B2F"/>
    <w:rsid w:val="001F77B1"/>
    <w:rsid w:val="002010BE"/>
    <w:rsid w:val="00202303"/>
    <w:rsid w:val="002026D2"/>
    <w:rsid w:val="00211BAA"/>
    <w:rsid w:val="002164A4"/>
    <w:rsid w:val="00223219"/>
    <w:rsid w:val="00225C1E"/>
    <w:rsid w:val="00227E63"/>
    <w:rsid w:val="00230495"/>
    <w:rsid w:val="00230C65"/>
    <w:rsid w:val="00233323"/>
    <w:rsid w:val="0023332E"/>
    <w:rsid w:val="002354C1"/>
    <w:rsid w:val="00241619"/>
    <w:rsid w:val="00242BFF"/>
    <w:rsid w:val="0024365B"/>
    <w:rsid w:val="00250A0F"/>
    <w:rsid w:val="00252585"/>
    <w:rsid w:val="00253EBA"/>
    <w:rsid w:val="002543FE"/>
    <w:rsid w:val="00260BFC"/>
    <w:rsid w:val="00260C92"/>
    <w:rsid w:val="0026163E"/>
    <w:rsid w:val="0026273C"/>
    <w:rsid w:val="0026324F"/>
    <w:rsid w:val="00264262"/>
    <w:rsid w:val="00270F8D"/>
    <w:rsid w:val="00273D03"/>
    <w:rsid w:val="00273E8B"/>
    <w:rsid w:val="002764E8"/>
    <w:rsid w:val="00277184"/>
    <w:rsid w:val="002879D6"/>
    <w:rsid w:val="00290BE6"/>
    <w:rsid w:val="002950FA"/>
    <w:rsid w:val="002A1DAE"/>
    <w:rsid w:val="002A3F2E"/>
    <w:rsid w:val="002A4844"/>
    <w:rsid w:val="002B0E40"/>
    <w:rsid w:val="002B267E"/>
    <w:rsid w:val="002C434E"/>
    <w:rsid w:val="002C54DC"/>
    <w:rsid w:val="002D197E"/>
    <w:rsid w:val="002D3A2D"/>
    <w:rsid w:val="002D3EC0"/>
    <w:rsid w:val="002D604B"/>
    <w:rsid w:val="002F3980"/>
    <w:rsid w:val="002F7F5A"/>
    <w:rsid w:val="00301EC4"/>
    <w:rsid w:val="0030472C"/>
    <w:rsid w:val="003122AC"/>
    <w:rsid w:val="0031331A"/>
    <w:rsid w:val="00313760"/>
    <w:rsid w:val="003157AC"/>
    <w:rsid w:val="00316035"/>
    <w:rsid w:val="003167B1"/>
    <w:rsid w:val="0031723C"/>
    <w:rsid w:val="00317522"/>
    <w:rsid w:val="003205FD"/>
    <w:rsid w:val="00321500"/>
    <w:rsid w:val="00326D23"/>
    <w:rsid w:val="00326D7E"/>
    <w:rsid w:val="0033040B"/>
    <w:rsid w:val="00331E13"/>
    <w:rsid w:val="00332A72"/>
    <w:rsid w:val="00343A5E"/>
    <w:rsid w:val="003460C8"/>
    <w:rsid w:val="003472B1"/>
    <w:rsid w:val="00352E02"/>
    <w:rsid w:val="003548B8"/>
    <w:rsid w:val="003549C2"/>
    <w:rsid w:val="003619DC"/>
    <w:rsid w:val="00365278"/>
    <w:rsid w:val="00371469"/>
    <w:rsid w:val="003734CE"/>
    <w:rsid w:val="0037376A"/>
    <w:rsid w:val="00374F9B"/>
    <w:rsid w:val="00376D75"/>
    <w:rsid w:val="0038397C"/>
    <w:rsid w:val="00394522"/>
    <w:rsid w:val="00396D49"/>
    <w:rsid w:val="003A2670"/>
    <w:rsid w:val="003A681A"/>
    <w:rsid w:val="003B2080"/>
    <w:rsid w:val="003C313A"/>
    <w:rsid w:val="003C5A4A"/>
    <w:rsid w:val="003D1714"/>
    <w:rsid w:val="003E2DC9"/>
    <w:rsid w:val="003E2F17"/>
    <w:rsid w:val="00400369"/>
    <w:rsid w:val="004015F8"/>
    <w:rsid w:val="004042E2"/>
    <w:rsid w:val="004102E2"/>
    <w:rsid w:val="00411F75"/>
    <w:rsid w:val="00415711"/>
    <w:rsid w:val="00415AA5"/>
    <w:rsid w:val="00417060"/>
    <w:rsid w:val="00417404"/>
    <w:rsid w:val="00421343"/>
    <w:rsid w:val="00423D46"/>
    <w:rsid w:val="00425116"/>
    <w:rsid w:val="004251C4"/>
    <w:rsid w:val="0042709F"/>
    <w:rsid w:val="00430F2E"/>
    <w:rsid w:val="00432061"/>
    <w:rsid w:val="004321A7"/>
    <w:rsid w:val="00433C16"/>
    <w:rsid w:val="00434F9A"/>
    <w:rsid w:val="00435F97"/>
    <w:rsid w:val="00436E8A"/>
    <w:rsid w:val="00437DB5"/>
    <w:rsid w:val="00440328"/>
    <w:rsid w:val="004406F6"/>
    <w:rsid w:val="00442F02"/>
    <w:rsid w:val="004451DF"/>
    <w:rsid w:val="00450E45"/>
    <w:rsid w:val="00452F88"/>
    <w:rsid w:val="00453A6A"/>
    <w:rsid w:val="00454311"/>
    <w:rsid w:val="00457722"/>
    <w:rsid w:val="00457CC3"/>
    <w:rsid w:val="00460C3A"/>
    <w:rsid w:val="00461453"/>
    <w:rsid w:val="0046198D"/>
    <w:rsid w:val="00471450"/>
    <w:rsid w:val="00471CA6"/>
    <w:rsid w:val="0047258D"/>
    <w:rsid w:val="00474070"/>
    <w:rsid w:val="00476EF9"/>
    <w:rsid w:val="0047778C"/>
    <w:rsid w:val="004843B0"/>
    <w:rsid w:val="004912BB"/>
    <w:rsid w:val="00497642"/>
    <w:rsid w:val="004979F3"/>
    <w:rsid w:val="004A3C34"/>
    <w:rsid w:val="004A4D1C"/>
    <w:rsid w:val="004A5545"/>
    <w:rsid w:val="004B02B3"/>
    <w:rsid w:val="004B4CCC"/>
    <w:rsid w:val="004C0E59"/>
    <w:rsid w:val="004C1B9D"/>
    <w:rsid w:val="004C5DB5"/>
    <w:rsid w:val="004C6442"/>
    <w:rsid w:val="004D17A7"/>
    <w:rsid w:val="004D1BFE"/>
    <w:rsid w:val="004D5CA0"/>
    <w:rsid w:val="004E403D"/>
    <w:rsid w:val="004E5D0F"/>
    <w:rsid w:val="004E79B0"/>
    <w:rsid w:val="004F00B4"/>
    <w:rsid w:val="004F1641"/>
    <w:rsid w:val="004F5D28"/>
    <w:rsid w:val="004F7342"/>
    <w:rsid w:val="0050363C"/>
    <w:rsid w:val="00505604"/>
    <w:rsid w:val="00505A23"/>
    <w:rsid w:val="00514E04"/>
    <w:rsid w:val="00521A48"/>
    <w:rsid w:val="0052386C"/>
    <w:rsid w:val="0052496C"/>
    <w:rsid w:val="00525B89"/>
    <w:rsid w:val="00526C4F"/>
    <w:rsid w:val="00532F8D"/>
    <w:rsid w:val="00534814"/>
    <w:rsid w:val="0053741F"/>
    <w:rsid w:val="00537572"/>
    <w:rsid w:val="0054318A"/>
    <w:rsid w:val="00545458"/>
    <w:rsid w:val="00545778"/>
    <w:rsid w:val="005463E1"/>
    <w:rsid w:val="00554F70"/>
    <w:rsid w:val="005577E9"/>
    <w:rsid w:val="00557CF9"/>
    <w:rsid w:val="00561100"/>
    <w:rsid w:val="00562C31"/>
    <w:rsid w:val="00564074"/>
    <w:rsid w:val="005676E8"/>
    <w:rsid w:val="0057788D"/>
    <w:rsid w:val="00581E91"/>
    <w:rsid w:val="00582E3A"/>
    <w:rsid w:val="00583661"/>
    <w:rsid w:val="005857AE"/>
    <w:rsid w:val="00591836"/>
    <w:rsid w:val="005918A8"/>
    <w:rsid w:val="005979A5"/>
    <w:rsid w:val="005A42BB"/>
    <w:rsid w:val="005B5364"/>
    <w:rsid w:val="005B5AA3"/>
    <w:rsid w:val="005C063A"/>
    <w:rsid w:val="005C1DE4"/>
    <w:rsid w:val="005C432F"/>
    <w:rsid w:val="005C626B"/>
    <w:rsid w:val="005C78A2"/>
    <w:rsid w:val="005D082C"/>
    <w:rsid w:val="005D26B1"/>
    <w:rsid w:val="005D4F47"/>
    <w:rsid w:val="005E0C15"/>
    <w:rsid w:val="005E0DC2"/>
    <w:rsid w:val="005E1D33"/>
    <w:rsid w:val="005E2A38"/>
    <w:rsid w:val="005E35B5"/>
    <w:rsid w:val="005F1204"/>
    <w:rsid w:val="005F3028"/>
    <w:rsid w:val="005F5747"/>
    <w:rsid w:val="005F6D63"/>
    <w:rsid w:val="005F6F2D"/>
    <w:rsid w:val="00607047"/>
    <w:rsid w:val="006111A1"/>
    <w:rsid w:val="00614450"/>
    <w:rsid w:val="00621128"/>
    <w:rsid w:val="0062312E"/>
    <w:rsid w:val="006316F4"/>
    <w:rsid w:val="00632764"/>
    <w:rsid w:val="006362B5"/>
    <w:rsid w:val="006458B3"/>
    <w:rsid w:val="00651123"/>
    <w:rsid w:val="0065391A"/>
    <w:rsid w:val="00653AFF"/>
    <w:rsid w:val="0065793F"/>
    <w:rsid w:val="006616C8"/>
    <w:rsid w:val="00664AF0"/>
    <w:rsid w:val="00664E61"/>
    <w:rsid w:val="00665CB0"/>
    <w:rsid w:val="00666F61"/>
    <w:rsid w:val="0067123F"/>
    <w:rsid w:val="00673DF3"/>
    <w:rsid w:val="00674852"/>
    <w:rsid w:val="00676685"/>
    <w:rsid w:val="00681125"/>
    <w:rsid w:val="00682087"/>
    <w:rsid w:val="00683BE5"/>
    <w:rsid w:val="0068738B"/>
    <w:rsid w:val="00691BA3"/>
    <w:rsid w:val="006920E6"/>
    <w:rsid w:val="00695481"/>
    <w:rsid w:val="0069611F"/>
    <w:rsid w:val="006A478A"/>
    <w:rsid w:val="006A5A83"/>
    <w:rsid w:val="006B40BA"/>
    <w:rsid w:val="006B5385"/>
    <w:rsid w:val="006B5FF6"/>
    <w:rsid w:val="006C1ABD"/>
    <w:rsid w:val="006C4D88"/>
    <w:rsid w:val="006D0F7D"/>
    <w:rsid w:val="006E0D9C"/>
    <w:rsid w:val="006E2E49"/>
    <w:rsid w:val="006E393B"/>
    <w:rsid w:val="006E5B4E"/>
    <w:rsid w:val="006E7661"/>
    <w:rsid w:val="006F0A05"/>
    <w:rsid w:val="006F0DA4"/>
    <w:rsid w:val="006F19D0"/>
    <w:rsid w:val="006F43BA"/>
    <w:rsid w:val="006F53C5"/>
    <w:rsid w:val="006F77B3"/>
    <w:rsid w:val="007037DA"/>
    <w:rsid w:val="00710608"/>
    <w:rsid w:val="007114D8"/>
    <w:rsid w:val="007118BF"/>
    <w:rsid w:val="00713848"/>
    <w:rsid w:val="0071707A"/>
    <w:rsid w:val="00720BCE"/>
    <w:rsid w:val="00721F2E"/>
    <w:rsid w:val="007224F6"/>
    <w:rsid w:val="00731B08"/>
    <w:rsid w:val="00731F2A"/>
    <w:rsid w:val="007347C0"/>
    <w:rsid w:val="00737D0B"/>
    <w:rsid w:val="00741292"/>
    <w:rsid w:val="00741C54"/>
    <w:rsid w:val="007436C6"/>
    <w:rsid w:val="00743E05"/>
    <w:rsid w:val="00744C8D"/>
    <w:rsid w:val="00755374"/>
    <w:rsid w:val="00756ABF"/>
    <w:rsid w:val="007574F7"/>
    <w:rsid w:val="00757DBF"/>
    <w:rsid w:val="00761057"/>
    <w:rsid w:val="0076542D"/>
    <w:rsid w:val="0076798E"/>
    <w:rsid w:val="00770EA2"/>
    <w:rsid w:val="00771C0E"/>
    <w:rsid w:val="00781820"/>
    <w:rsid w:val="0078284E"/>
    <w:rsid w:val="0078524D"/>
    <w:rsid w:val="00790204"/>
    <w:rsid w:val="00795F35"/>
    <w:rsid w:val="007979BB"/>
    <w:rsid w:val="007A1106"/>
    <w:rsid w:val="007A1E2A"/>
    <w:rsid w:val="007A561F"/>
    <w:rsid w:val="007B1780"/>
    <w:rsid w:val="007B47D7"/>
    <w:rsid w:val="007C1073"/>
    <w:rsid w:val="007D2439"/>
    <w:rsid w:val="007D34CB"/>
    <w:rsid w:val="007D46FA"/>
    <w:rsid w:val="007D6186"/>
    <w:rsid w:val="007E094F"/>
    <w:rsid w:val="007E1871"/>
    <w:rsid w:val="007E1FE8"/>
    <w:rsid w:val="007E3FAA"/>
    <w:rsid w:val="007E5839"/>
    <w:rsid w:val="007E757F"/>
    <w:rsid w:val="007F24D4"/>
    <w:rsid w:val="008014F3"/>
    <w:rsid w:val="00802785"/>
    <w:rsid w:val="00803281"/>
    <w:rsid w:val="008065D8"/>
    <w:rsid w:val="00810DFB"/>
    <w:rsid w:val="00811782"/>
    <w:rsid w:val="00815516"/>
    <w:rsid w:val="00816EFC"/>
    <w:rsid w:val="0082124C"/>
    <w:rsid w:val="00826B4A"/>
    <w:rsid w:val="00830D51"/>
    <w:rsid w:val="00831B6D"/>
    <w:rsid w:val="00831CD8"/>
    <w:rsid w:val="00837227"/>
    <w:rsid w:val="00843DBD"/>
    <w:rsid w:val="00844D23"/>
    <w:rsid w:val="00852A94"/>
    <w:rsid w:val="00854D1F"/>
    <w:rsid w:val="00854F9B"/>
    <w:rsid w:val="0085577C"/>
    <w:rsid w:val="00855F1F"/>
    <w:rsid w:val="0086127B"/>
    <w:rsid w:val="0086179B"/>
    <w:rsid w:val="00864FF8"/>
    <w:rsid w:val="00866AAD"/>
    <w:rsid w:val="00867D21"/>
    <w:rsid w:val="0087084F"/>
    <w:rsid w:val="00871B5B"/>
    <w:rsid w:val="00872DB5"/>
    <w:rsid w:val="008741D2"/>
    <w:rsid w:val="00875533"/>
    <w:rsid w:val="00883563"/>
    <w:rsid w:val="00887AEB"/>
    <w:rsid w:val="0089759C"/>
    <w:rsid w:val="008A08E3"/>
    <w:rsid w:val="008B3305"/>
    <w:rsid w:val="008B50B5"/>
    <w:rsid w:val="008C2D3A"/>
    <w:rsid w:val="008C4229"/>
    <w:rsid w:val="008C4DBC"/>
    <w:rsid w:val="008D11CC"/>
    <w:rsid w:val="008D3139"/>
    <w:rsid w:val="008D40D9"/>
    <w:rsid w:val="008D62AD"/>
    <w:rsid w:val="008E7523"/>
    <w:rsid w:val="008E7F4E"/>
    <w:rsid w:val="008F45F1"/>
    <w:rsid w:val="008F4834"/>
    <w:rsid w:val="00900701"/>
    <w:rsid w:val="00900CFD"/>
    <w:rsid w:val="00901617"/>
    <w:rsid w:val="0090623A"/>
    <w:rsid w:val="009217C4"/>
    <w:rsid w:val="00927E4C"/>
    <w:rsid w:val="0093137E"/>
    <w:rsid w:val="009319B3"/>
    <w:rsid w:val="009323FE"/>
    <w:rsid w:val="00937982"/>
    <w:rsid w:val="0094187D"/>
    <w:rsid w:val="00947C9A"/>
    <w:rsid w:val="009516D8"/>
    <w:rsid w:val="00953D13"/>
    <w:rsid w:val="00955006"/>
    <w:rsid w:val="00961642"/>
    <w:rsid w:val="009645AD"/>
    <w:rsid w:val="00966392"/>
    <w:rsid w:val="009670B6"/>
    <w:rsid w:val="009729B7"/>
    <w:rsid w:val="00974394"/>
    <w:rsid w:val="00974BBE"/>
    <w:rsid w:val="0097526A"/>
    <w:rsid w:val="00977462"/>
    <w:rsid w:val="00983A63"/>
    <w:rsid w:val="00983E84"/>
    <w:rsid w:val="00983FE9"/>
    <w:rsid w:val="00984457"/>
    <w:rsid w:val="00986DE9"/>
    <w:rsid w:val="00990294"/>
    <w:rsid w:val="0099339A"/>
    <w:rsid w:val="009959B7"/>
    <w:rsid w:val="009A16A1"/>
    <w:rsid w:val="009A2EE4"/>
    <w:rsid w:val="009A3008"/>
    <w:rsid w:val="009B225F"/>
    <w:rsid w:val="009B29F7"/>
    <w:rsid w:val="009B2ACA"/>
    <w:rsid w:val="009C289D"/>
    <w:rsid w:val="009C2980"/>
    <w:rsid w:val="009C3FB8"/>
    <w:rsid w:val="009C4C02"/>
    <w:rsid w:val="009C50F7"/>
    <w:rsid w:val="009C58A2"/>
    <w:rsid w:val="009D3D7B"/>
    <w:rsid w:val="009D4021"/>
    <w:rsid w:val="009D4450"/>
    <w:rsid w:val="009D6E04"/>
    <w:rsid w:val="009E0ABF"/>
    <w:rsid w:val="009E1D18"/>
    <w:rsid w:val="009E3669"/>
    <w:rsid w:val="009E39C6"/>
    <w:rsid w:val="009E5C96"/>
    <w:rsid w:val="009F03A9"/>
    <w:rsid w:val="009F09B2"/>
    <w:rsid w:val="009F64EB"/>
    <w:rsid w:val="009F6CDB"/>
    <w:rsid w:val="00A03E69"/>
    <w:rsid w:val="00A10676"/>
    <w:rsid w:val="00A165CC"/>
    <w:rsid w:val="00A16C06"/>
    <w:rsid w:val="00A2090C"/>
    <w:rsid w:val="00A21AE1"/>
    <w:rsid w:val="00A25844"/>
    <w:rsid w:val="00A31CD8"/>
    <w:rsid w:val="00A3301E"/>
    <w:rsid w:val="00A33D1E"/>
    <w:rsid w:val="00A364FB"/>
    <w:rsid w:val="00A41098"/>
    <w:rsid w:val="00A451D5"/>
    <w:rsid w:val="00A50802"/>
    <w:rsid w:val="00A52DB1"/>
    <w:rsid w:val="00A54CBA"/>
    <w:rsid w:val="00A56008"/>
    <w:rsid w:val="00A62BFF"/>
    <w:rsid w:val="00A63EAB"/>
    <w:rsid w:val="00A64CB6"/>
    <w:rsid w:val="00A7029A"/>
    <w:rsid w:val="00A761D6"/>
    <w:rsid w:val="00A77811"/>
    <w:rsid w:val="00A80FD2"/>
    <w:rsid w:val="00A8183F"/>
    <w:rsid w:val="00A84FD4"/>
    <w:rsid w:val="00A8763C"/>
    <w:rsid w:val="00A92BD0"/>
    <w:rsid w:val="00A9699A"/>
    <w:rsid w:val="00AA671B"/>
    <w:rsid w:val="00AA6ED2"/>
    <w:rsid w:val="00AA745F"/>
    <w:rsid w:val="00AA7E5B"/>
    <w:rsid w:val="00AB4DC8"/>
    <w:rsid w:val="00AB523E"/>
    <w:rsid w:val="00AC19BB"/>
    <w:rsid w:val="00AC3082"/>
    <w:rsid w:val="00AC4325"/>
    <w:rsid w:val="00AC504B"/>
    <w:rsid w:val="00AD1EA7"/>
    <w:rsid w:val="00AD4BAE"/>
    <w:rsid w:val="00AD66C9"/>
    <w:rsid w:val="00AD6740"/>
    <w:rsid w:val="00AE12BD"/>
    <w:rsid w:val="00AE70BC"/>
    <w:rsid w:val="00AF08A9"/>
    <w:rsid w:val="00AF218C"/>
    <w:rsid w:val="00AF2441"/>
    <w:rsid w:val="00AF7467"/>
    <w:rsid w:val="00AF7D73"/>
    <w:rsid w:val="00B01ACD"/>
    <w:rsid w:val="00B02450"/>
    <w:rsid w:val="00B03B5C"/>
    <w:rsid w:val="00B06F6D"/>
    <w:rsid w:val="00B13C7D"/>
    <w:rsid w:val="00B16C17"/>
    <w:rsid w:val="00B2480B"/>
    <w:rsid w:val="00B25B08"/>
    <w:rsid w:val="00B26557"/>
    <w:rsid w:val="00B30C92"/>
    <w:rsid w:val="00B32E93"/>
    <w:rsid w:val="00B33147"/>
    <w:rsid w:val="00B33FB9"/>
    <w:rsid w:val="00B343C7"/>
    <w:rsid w:val="00B414AC"/>
    <w:rsid w:val="00B426C2"/>
    <w:rsid w:val="00B42C25"/>
    <w:rsid w:val="00B45AD5"/>
    <w:rsid w:val="00B45D96"/>
    <w:rsid w:val="00B46403"/>
    <w:rsid w:val="00B475EB"/>
    <w:rsid w:val="00B50548"/>
    <w:rsid w:val="00B553F3"/>
    <w:rsid w:val="00B57A7D"/>
    <w:rsid w:val="00B57BB1"/>
    <w:rsid w:val="00B6103D"/>
    <w:rsid w:val="00B64B47"/>
    <w:rsid w:val="00B76173"/>
    <w:rsid w:val="00B82215"/>
    <w:rsid w:val="00B8232D"/>
    <w:rsid w:val="00B91E8C"/>
    <w:rsid w:val="00B96A8B"/>
    <w:rsid w:val="00BA1766"/>
    <w:rsid w:val="00BA3056"/>
    <w:rsid w:val="00BA4E66"/>
    <w:rsid w:val="00BA61DE"/>
    <w:rsid w:val="00BA6D9E"/>
    <w:rsid w:val="00BB07F4"/>
    <w:rsid w:val="00BB3D6F"/>
    <w:rsid w:val="00BB7B4F"/>
    <w:rsid w:val="00BC0372"/>
    <w:rsid w:val="00BC085D"/>
    <w:rsid w:val="00BC0B73"/>
    <w:rsid w:val="00BC0BA2"/>
    <w:rsid w:val="00BC1F5C"/>
    <w:rsid w:val="00BC2350"/>
    <w:rsid w:val="00BC2E21"/>
    <w:rsid w:val="00BC705E"/>
    <w:rsid w:val="00BD1575"/>
    <w:rsid w:val="00BD7ABA"/>
    <w:rsid w:val="00BD7C31"/>
    <w:rsid w:val="00BE46F7"/>
    <w:rsid w:val="00BE64B8"/>
    <w:rsid w:val="00BE7AD5"/>
    <w:rsid w:val="00BF1ED3"/>
    <w:rsid w:val="00BF2ADD"/>
    <w:rsid w:val="00BF3166"/>
    <w:rsid w:val="00BF70F6"/>
    <w:rsid w:val="00BF7A57"/>
    <w:rsid w:val="00C07571"/>
    <w:rsid w:val="00C137B1"/>
    <w:rsid w:val="00C157EF"/>
    <w:rsid w:val="00C17D4A"/>
    <w:rsid w:val="00C27577"/>
    <w:rsid w:val="00C3676B"/>
    <w:rsid w:val="00C41AEF"/>
    <w:rsid w:val="00C52056"/>
    <w:rsid w:val="00C52199"/>
    <w:rsid w:val="00C54640"/>
    <w:rsid w:val="00C610EE"/>
    <w:rsid w:val="00C64990"/>
    <w:rsid w:val="00C66281"/>
    <w:rsid w:val="00C668C4"/>
    <w:rsid w:val="00C740DF"/>
    <w:rsid w:val="00C76E09"/>
    <w:rsid w:val="00C809C6"/>
    <w:rsid w:val="00C811FF"/>
    <w:rsid w:val="00C82A3A"/>
    <w:rsid w:val="00C82C10"/>
    <w:rsid w:val="00C83D34"/>
    <w:rsid w:val="00C93E99"/>
    <w:rsid w:val="00C94D4A"/>
    <w:rsid w:val="00CA2277"/>
    <w:rsid w:val="00CA3A4C"/>
    <w:rsid w:val="00CA5136"/>
    <w:rsid w:val="00CA5DAD"/>
    <w:rsid w:val="00CB041B"/>
    <w:rsid w:val="00CB31E1"/>
    <w:rsid w:val="00CB444E"/>
    <w:rsid w:val="00CB4873"/>
    <w:rsid w:val="00CB5D94"/>
    <w:rsid w:val="00CB6CEA"/>
    <w:rsid w:val="00CC5F0A"/>
    <w:rsid w:val="00CD22B0"/>
    <w:rsid w:val="00CD2F54"/>
    <w:rsid w:val="00CD6063"/>
    <w:rsid w:val="00CE6719"/>
    <w:rsid w:val="00CF445E"/>
    <w:rsid w:val="00CF5EDE"/>
    <w:rsid w:val="00CF6BB8"/>
    <w:rsid w:val="00CF7906"/>
    <w:rsid w:val="00D02E60"/>
    <w:rsid w:val="00D11167"/>
    <w:rsid w:val="00D11D2F"/>
    <w:rsid w:val="00D13168"/>
    <w:rsid w:val="00D21C72"/>
    <w:rsid w:val="00D231D1"/>
    <w:rsid w:val="00D23BA5"/>
    <w:rsid w:val="00D27D23"/>
    <w:rsid w:val="00D307DD"/>
    <w:rsid w:val="00D30928"/>
    <w:rsid w:val="00D33520"/>
    <w:rsid w:val="00D34426"/>
    <w:rsid w:val="00D37854"/>
    <w:rsid w:val="00D41326"/>
    <w:rsid w:val="00D424CB"/>
    <w:rsid w:val="00D42994"/>
    <w:rsid w:val="00D439C9"/>
    <w:rsid w:val="00D50425"/>
    <w:rsid w:val="00D51991"/>
    <w:rsid w:val="00D54BBF"/>
    <w:rsid w:val="00D55F35"/>
    <w:rsid w:val="00D56703"/>
    <w:rsid w:val="00D56B82"/>
    <w:rsid w:val="00D57BCC"/>
    <w:rsid w:val="00D63C86"/>
    <w:rsid w:val="00D65C4E"/>
    <w:rsid w:val="00D669EB"/>
    <w:rsid w:val="00D66D4B"/>
    <w:rsid w:val="00D708F4"/>
    <w:rsid w:val="00D81192"/>
    <w:rsid w:val="00D9270C"/>
    <w:rsid w:val="00D9309A"/>
    <w:rsid w:val="00D94647"/>
    <w:rsid w:val="00D94B4A"/>
    <w:rsid w:val="00D9553B"/>
    <w:rsid w:val="00DA0B6F"/>
    <w:rsid w:val="00DA30A2"/>
    <w:rsid w:val="00DA3880"/>
    <w:rsid w:val="00DA3AE9"/>
    <w:rsid w:val="00DB178A"/>
    <w:rsid w:val="00DB50F4"/>
    <w:rsid w:val="00DB53C5"/>
    <w:rsid w:val="00DB593B"/>
    <w:rsid w:val="00DC04AC"/>
    <w:rsid w:val="00DC4915"/>
    <w:rsid w:val="00DC624D"/>
    <w:rsid w:val="00DD03A1"/>
    <w:rsid w:val="00DD1934"/>
    <w:rsid w:val="00DD3EDA"/>
    <w:rsid w:val="00DE0DB2"/>
    <w:rsid w:val="00DE3EBA"/>
    <w:rsid w:val="00DF0DB1"/>
    <w:rsid w:val="00DF2B61"/>
    <w:rsid w:val="00DF4819"/>
    <w:rsid w:val="00E0365E"/>
    <w:rsid w:val="00E10924"/>
    <w:rsid w:val="00E1129C"/>
    <w:rsid w:val="00E177E2"/>
    <w:rsid w:val="00E20F1E"/>
    <w:rsid w:val="00E228B7"/>
    <w:rsid w:val="00E230B9"/>
    <w:rsid w:val="00E25222"/>
    <w:rsid w:val="00E261B5"/>
    <w:rsid w:val="00E35238"/>
    <w:rsid w:val="00E36131"/>
    <w:rsid w:val="00E3663F"/>
    <w:rsid w:val="00E402C2"/>
    <w:rsid w:val="00E40ACE"/>
    <w:rsid w:val="00E447DE"/>
    <w:rsid w:val="00E44827"/>
    <w:rsid w:val="00E4740C"/>
    <w:rsid w:val="00E50D08"/>
    <w:rsid w:val="00E5144C"/>
    <w:rsid w:val="00E520AE"/>
    <w:rsid w:val="00E52A5D"/>
    <w:rsid w:val="00E63B77"/>
    <w:rsid w:val="00E63CDB"/>
    <w:rsid w:val="00E71C8A"/>
    <w:rsid w:val="00E72497"/>
    <w:rsid w:val="00E72B1F"/>
    <w:rsid w:val="00E87069"/>
    <w:rsid w:val="00E90C32"/>
    <w:rsid w:val="00E91F7B"/>
    <w:rsid w:val="00E92442"/>
    <w:rsid w:val="00E93CDF"/>
    <w:rsid w:val="00E93E28"/>
    <w:rsid w:val="00E9475B"/>
    <w:rsid w:val="00EA5276"/>
    <w:rsid w:val="00EA7387"/>
    <w:rsid w:val="00EB2A38"/>
    <w:rsid w:val="00EC228B"/>
    <w:rsid w:val="00EC2D9A"/>
    <w:rsid w:val="00EC49D7"/>
    <w:rsid w:val="00EC537C"/>
    <w:rsid w:val="00EC6B22"/>
    <w:rsid w:val="00ED151B"/>
    <w:rsid w:val="00ED297E"/>
    <w:rsid w:val="00EE2DC9"/>
    <w:rsid w:val="00EE5645"/>
    <w:rsid w:val="00EE679E"/>
    <w:rsid w:val="00EF10A8"/>
    <w:rsid w:val="00EF51C3"/>
    <w:rsid w:val="00EF53D9"/>
    <w:rsid w:val="00EF53F7"/>
    <w:rsid w:val="00F01D57"/>
    <w:rsid w:val="00F04DD6"/>
    <w:rsid w:val="00F06B42"/>
    <w:rsid w:val="00F07952"/>
    <w:rsid w:val="00F15B1E"/>
    <w:rsid w:val="00F167B3"/>
    <w:rsid w:val="00F204AE"/>
    <w:rsid w:val="00F217BA"/>
    <w:rsid w:val="00F25544"/>
    <w:rsid w:val="00F26631"/>
    <w:rsid w:val="00F26A24"/>
    <w:rsid w:val="00F3472F"/>
    <w:rsid w:val="00F35709"/>
    <w:rsid w:val="00F36DCA"/>
    <w:rsid w:val="00F4008A"/>
    <w:rsid w:val="00F40557"/>
    <w:rsid w:val="00F42923"/>
    <w:rsid w:val="00F437F9"/>
    <w:rsid w:val="00F45681"/>
    <w:rsid w:val="00F460FB"/>
    <w:rsid w:val="00F50FA3"/>
    <w:rsid w:val="00F51BA1"/>
    <w:rsid w:val="00F534FD"/>
    <w:rsid w:val="00F53A45"/>
    <w:rsid w:val="00F54AB4"/>
    <w:rsid w:val="00F62636"/>
    <w:rsid w:val="00F6340E"/>
    <w:rsid w:val="00F653B1"/>
    <w:rsid w:val="00F70186"/>
    <w:rsid w:val="00F70A8E"/>
    <w:rsid w:val="00F75651"/>
    <w:rsid w:val="00F760C0"/>
    <w:rsid w:val="00F77D93"/>
    <w:rsid w:val="00F805B0"/>
    <w:rsid w:val="00F81C9D"/>
    <w:rsid w:val="00F91F22"/>
    <w:rsid w:val="00F9494F"/>
    <w:rsid w:val="00FA0ED6"/>
    <w:rsid w:val="00FA22BF"/>
    <w:rsid w:val="00FA3EC1"/>
    <w:rsid w:val="00FA5A1E"/>
    <w:rsid w:val="00FA7F89"/>
    <w:rsid w:val="00FB2E4C"/>
    <w:rsid w:val="00FB5F3C"/>
    <w:rsid w:val="00FC3552"/>
    <w:rsid w:val="00FC46BC"/>
    <w:rsid w:val="00FC7096"/>
    <w:rsid w:val="00FD00FC"/>
    <w:rsid w:val="00FD0D00"/>
    <w:rsid w:val="00FD207B"/>
    <w:rsid w:val="00FD2737"/>
    <w:rsid w:val="00FD401C"/>
    <w:rsid w:val="00FD531F"/>
    <w:rsid w:val="00FE30E8"/>
    <w:rsid w:val="00FE3BC5"/>
    <w:rsid w:val="00FE5446"/>
    <w:rsid w:val="00FE7896"/>
    <w:rsid w:val="00FE7BC5"/>
    <w:rsid w:val="00FF1976"/>
    <w:rsid w:val="00FF20ED"/>
    <w:rsid w:val="00FF2BEA"/>
    <w:rsid w:val="00FF30E0"/>
    <w:rsid w:val="00FF324F"/>
    <w:rsid w:val="00FF37B2"/>
    <w:rsid w:val="00FF4BDC"/>
    <w:rsid w:val="0151CDB1"/>
    <w:rsid w:val="01B85693"/>
    <w:rsid w:val="01D9F096"/>
    <w:rsid w:val="036477C3"/>
    <w:rsid w:val="052E9045"/>
    <w:rsid w:val="05E56AE3"/>
    <w:rsid w:val="0639798B"/>
    <w:rsid w:val="06A6D1AA"/>
    <w:rsid w:val="07797A7A"/>
    <w:rsid w:val="07C21266"/>
    <w:rsid w:val="08DB8030"/>
    <w:rsid w:val="0914FA1F"/>
    <w:rsid w:val="09C069B0"/>
    <w:rsid w:val="0C2C92AB"/>
    <w:rsid w:val="0C537225"/>
    <w:rsid w:val="0C53A836"/>
    <w:rsid w:val="0D5A42A2"/>
    <w:rsid w:val="0D685EE5"/>
    <w:rsid w:val="112D9093"/>
    <w:rsid w:val="12B8D4A9"/>
    <w:rsid w:val="13D80777"/>
    <w:rsid w:val="142D2FD2"/>
    <w:rsid w:val="169E2FB8"/>
    <w:rsid w:val="17418D47"/>
    <w:rsid w:val="1757843F"/>
    <w:rsid w:val="176FCC52"/>
    <w:rsid w:val="18E540BA"/>
    <w:rsid w:val="1AD60903"/>
    <w:rsid w:val="1B09B277"/>
    <w:rsid w:val="1DB6C596"/>
    <w:rsid w:val="1FDE4DBE"/>
    <w:rsid w:val="208BD055"/>
    <w:rsid w:val="22C87845"/>
    <w:rsid w:val="23302B19"/>
    <w:rsid w:val="25339F3F"/>
    <w:rsid w:val="25595F3C"/>
    <w:rsid w:val="26FDB8F7"/>
    <w:rsid w:val="272F3093"/>
    <w:rsid w:val="2757FAA5"/>
    <w:rsid w:val="27E1D364"/>
    <w:rsid w:val="28076BE1"/>
    <w:rsid w:val="289398A3"/>
    <w:rsid w:val="2917C548"/>
    <w:rsid w:val="29581107"/>
    <w:rsid w:val="29CBAD96"/>
    <w:rsid w:val="2A75BA1F"/>
    <w:rsid w:val="2B91D497"/>
    <w:rsid w:val="2BB3A570"/>
    <w:rsid w:val="2CCD2E2D"/>
    <w:rsid w:val="2CDC93E0"/>
    <w:rsid w:val="2DA82D5F"/>
    <w:rsid w:val="2E349B4C"/>
    <w:rsid w:val="2E596989"/>
    <w:rsid w:val="2E80DDBC"/>
    <w:rsid w:val="2EBADAAC"/>
    <w:rsid w:val="2F041B26"/>
    <w:rsid w:val="305FEFE3"/>
    <w:rsid w:val="30A1196B"/>
    <w:rsid w:val="330FC684"/>
    <w:rsid w:val="36F79B91"/>
    <w:rsid w:val="376B2BD0"/>
    <w:rsid w:val="37D591AA"/>
    <w:rsid w:val="3945E24C"/>
    <w:rsid w:val="3955A457"/>
    <w:rsid w:val="3BE61855"/>
    <w:rsid w:val="3C507C6F"/>
    <w:rsid w:val="3CCD14AD"/>
    <w:rsid w:val="3CDF7CB7"/>
    <w:rsid w:val="3D33A113"/>
    <w:rsid w:val="3DFA7118"/>
    <w:rsid w:val="3F7142FF"/>
    <w:rsid w:val="3FDE2D62"/>
    <w:rsid w:val="402B78E2"/>
    <w:rsid w:val="404205F6"/>
    <w:rsid w:val="408E5BB3"/>
    <w:rsid w:val="4148E134"/>
    <w:rsid w:val="4163D7E6"/>
    <w:rsid w:val="43989E12"/>
    <w:rsid w:val="43D22854"/>
    <w:rsid w:val="44DD7D9A"/>
    <w:rsid w:val="47AB0D5B"/>
    <w:rsid w:val="47D702B5"/>
    <w:rsid w:val="49EAAFA6"/>
    <w:rsid w:val="4BCA4A1A"/>
    <w:rsid w:val="4CB6F493"/>
    <w:rsid w:val="4D39AB56"/>
    <w:rsid w:val="4FCA7F11"/>
    <w:rsid w:val="5077B856"/>
    <w:rsid w:val="50A8BE2E"/>
    <w:rsid w:val="5367090F"/>
    <w:rsid w:val="540E3A55"/>
    <w:rsid w:val="560272F0"/>
    <w:rsid w:val="56121261"/>
    <w:rsid w:val="566F4921"/>
    <w:rsid w:val="5782D347"/>
    <w:rsid w:val="5843D4EA"/>
    <w:rsid w:val="58EBA42C"/>
    <w:rsid w:val="5B21F6AC"/>
    <w:rsid w:val="5B621B4A"/>
    <w:rsid w:val="5C415018"/>
    <w:rsid w:val="5D20834E"/>
    <w:rsid w:val="5DABD719"/>
    <w:rsid w:val="5DB1CDEE"/>
    <w:rsid w:val="5E64A5AC"/>
    <w:rsid w:val="5F1F83CA"/>
    <w:rsid w:val="5FF20694"/>
    <w:rsid w:val="602D9696"/>
    <w:rsid w:val="60DF71E8"/>
    <w:rsid w:val="61024492"/>
    <w:rsid w:val="61F01A4F"/>
    <w:rsid w:val="6238A2D3"/>
    <w:rsid w:val="6267473A"/>
    <w:rsid w:val="642F792F"/>
    <w:rsid w:val="64413DBF"/>
    <w:rsid w:val="64B3974B"/>
    <w:rsid w:val="64EA27FD"/>
    <w:rsid w:val="6577F760"/>
    <w:rsid w:val="6616A286"/>
    <w:rsid w:val="66869503"/>
    <w:rsid w:val="668E317E"/>
    <w:rsid w:val="6768B556"/>
    <w:rsid w:val="6814BF7F"/>
    <w:rsid w:val="68443E03"/>
    <w:rsid w:val="69439146"/>
    <w:rsid w:val="69DFC528"/>
    <w:rsid w:val="6A244D46"/>
    <w:rsid w:val="6A467963"/>
    <w:rsid w:val="6ABA91F1"/>
    <w:rsid w:val="6AF87739"/>
    <w:rsid w:val="6B3D2862"/>
    <w:rsid w:val="6CE3DF6E"/>
    <w:rsid w:val="6F3AAE03"/>
    <w:rsid w:val="71F9799E"/>
    <w:rsid w:val="71F9CB4A"/>
    <w:rsid w:val="72C0B3FF"/>
    <w:rsid w:val="734556EB"/>
    <w:rsid w:val="73AA2C52"/>
    <w:rsid w:val="74FB4F94"/>
    <w:rsid w:val="75322B0C"/>
    <w:rsid w:val="75B05B7C"/>
    <w:rsid w:val="761A3D51"/>
    <w:rsid w:val="786942B9"/>
    <w:rsid w:val="79829FFB"/>
    <w:rsid w:val="7B0537E6"/>
    <w:rsid w:val="7C76D6EA"/>
    <w:rsid w:val="7DD47156"/>
    <w:rsid w:val="7E9D4F41"/>
    <w:rsid w:val="7F0A6EDB"/>
    <w:rsid w:val="7F974521"/>
    <w:rsid w:val="7FE8A55B"/>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AB9C2"/>
  <w15:docId w15:val="{7D85E8FF-D095-4CF8-ACAC-A5D5457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80"/>
  </w:style>
  <w:style w:type="paragraph" w:styleId="Heading1">
    <w:name w:val="heading 1"/>
    <w:basedOn w:val="Normal"/>
    <w:next w:val="Normal"/>
    <w:link w:val="Heading1Char"/>
    <w:uiPriority w:val="9"/>
    <w:qFormat/>
    <w:rsid w:val="006920E6"/>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04AC"/>
    <w:pPr>
      <w:keepNext/>
      <w:keepLines/>
      <w:numPr>
        <w:ilvl w:val="1"/>
        <w:numId w:val="8"/>
      </w:numPr>
      <w:spacing w:before="20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04AC"/>
    <w:pPr>
      <w:keepNext/>
      <w:keepLines/>
      <w:numPr>
        <w:ilvl w:val="2"/>
        <w:numId w:val="8"/>
      </w:numPr>
      <w:spacing w:before="20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6173"/>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4365B"/>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4365B"/>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4365B"/>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4365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365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F70F6"/>
    <w:pPr>
      <w:ind w:left="720"/>
      <w:contextualSpacing/>
    </w:pPr>
  </w:style>
  <w:style w:type="paragraph" w:styleId="BalloonText">
    <w:name w:val="Balloon Text"/>
    <w:basedOn w:val="Normal"/>
    <w:link w:val="BalloonTextChar"/>
    <w:uiPriority w:val="99"/>
    <w:semiHidden/>
    <w:unhideWhenUsed/>
    <w:rsid w:val="007B4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7D7"/>
    <w:rPr>
      <w:rFonts w:ascii="Segoe UI" w:hAnsi="Segoe UI" w:cs="Segoe UI"/>
      <w:sz w:val="18"/>
      <w:szCs w:val="18"/>
    </w:rPr>
  </w:style>
  <w:style w:type="paragraph" w:styleId="Title">
    <w:name w:val="Title"/>
    <w:basedOn w:val="Normal"/>
    <w:next w:val="Normal"/>
    <w:link w:val="TitleChar"/>
    <w:uiPriority w:val="10"/>
    <w:qFormat/>
    <w:rsid w:val="00CB6C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C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6CEA"/>
    <w:rPr>
      <w:rFonts w:eastAsiaTheme="minorEastAsia"/>
      <w:color w:val="5A5A5A" w:themeColor="text1" w:themeTint="A5"/>
      <w:spacing w:val="15"/>
    </w:rPr>
  </w:style>
  <w:style w:type="character" w:styleId="Strong">
    <w:name w:val="Strong"/>
    <w:basedOn w:val="DefaultParagraphFont"/>
    <w:qFormat/>
    <w:rsid w:val="00CB6CEA"/>
    <w:rPr>
      <w:b/>
      <w:bCs/>
    </w:rPr>
  </w:style>
  <w:style w:type="character" w:styleId="CommentReference">
    <w:name w:val="annotation reference"/>
    <w:basedOn w:val="DefaultParagraphFont"/>
    <w:uiPriority w:val="99"/>
    <w:semiHidden/>
    <w:unhideWhenUsed/>
    <w:rsid w:val="00CB6CEA"/>
    <w:rPr>
      <w:sz w:val="16"/>
      <w:szCs w:val="16"/>
    </w:rPr>
  </w:style>
  <w:style w:type="paragraph" w:styleId="CommentText">
    <w:name w:val="annotation text"/>
    <w:basedOn w:val="Normal"/>
    <w:link w:val="CommentTextChar"/>
    <w:uiPriority w:val="99"/>
    <w:unhideWhenUsed/>
    <w:rsid w:val="00CB6CEA"/>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CB6CEA"/>
    <w:rPr>
      <w:rFonts w:ascii="Cambria" w:hAnsi="Cambria"/>
      <w:sz w:val="20"/>
      <w:szCs w:val="20"/>
    </w:rPr>
  </w:style>
  <w:style w:type="character" w:customStyle="1" w:styleId="Heading1Char">
    <w:name w:val="Heading 1 Char"/>
    <w:basedOn w:val="DefaultParagraphFont"/>
    <w:link w:val="Heading1"/>
    <w:uiPriority w:val="9"/>
    <w:rsid w:val="006920E6"/>
    <w:rPr>
      <w:rFonts w:asciiTheme="majorHAnsi" w:eastAsiaTheme="majorEastAsia" w:hAnsiTheme="majorHAnsi" w:cstheme="majorBidi"/>
      <w:color w:val="2E74B5" w:themeColor="accent1" w:themeShade="BF"/>
      <w:sz w:val="32"/>
      <w:szCs w:val="32"/>
    </w:rPr>
  </w:style>
  <w:style w:type="paragraph" w:styleId="TOCHeading">
    <w:name w:val="TOC Heading"/>
    <w:next w:val="Normal"/>
    <w:uiPriority w:val="39"/>
    <w:unhideWhenUsed/>
    <w:qFormat/>
    <w:rsid w:val="00FD207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B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EA"/>
  </w:style>
  <w:style w:type="paragraph" w:styleId="BodyText">
    <w:name w:val="Body Text"/>
    <w:basedOn w:val="Normal"/>
    <w:link w:val="BodyTextChar"/>
    <w:uiPriority w:val="99"/>
    <w:unhideWhenUsed/>
    <w:rsid w:val="00CB6CEA"/>
    <w:pPr>
      <w:spacing w:after="120"/>
    </w:pPr>
  </w:style>
  <w:style w:type="character" w:customStyle="1" w:styleId="BodyTextChar">
    <w:name w:val="Body Text Char"/>
    <w:basedOn w:val="DefaultParagraphFont"/>
    <w:link w:val="BodyText"/>
    <w:uiPriority w:val="99"/>
    <w:rsid w:val="00CB6CEA"/>
  </w:style>
  <w:style w:type="paragraph" w:styleId="ListBullet">
    <w:name w:val="List Bullet"/>
    <w:basedOn w:val="Normal"/>
    <w:uiPriority w:val="99"/>
    <w:unhideWhenUsed/>
    <w:rsid w:val="00710608"/>
    <w:pPr>
      <w:numPr>
        <w:numId w:val="5"/>
      </w:numPr>
      <w:spacing w:after="40"/>
    </w:pPr>
  </w:style>
  <w:style w:type="character" w:customStyle="1" w:styleId="Heading2Char">
    <w:name w:val="Heading 2 Char"/>
    <w:basedOn w:val="DefaultParagraphFont"/>
    <w:link w:val="Heading2"/>
    <w:uiPriority w:val="9"/>
    <w:rsid w:val="00DC04AC"/>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F04DD6"/>
    <w:pPr>
      <w:pBdr>
        <w:top w:val="single" w:sz="4" w:space="10" w:color="5B9BD5" w:themeColor="accent1"/>
        <w:bottom w:val="single" w:sz="4" w:space="10" w:color="5B9BD5" w:themeColor="accent1"/>
      </w:pBdr>
      <w:spacing w:before="360" w:after="360"/>
      <w:ind w:left="864" w:right="864"/>
    </w:pPr>
    <w:rPr>
      <w:i/>
      <w:iCs/>
      <w:color w:val="5B9BD5" w:themeColor="accent1"/>
    </w:rPr>
  </w:style>
  <w:style w:type="character" w:customStyle="1" w:styleId="IntenseQuoteChar">
    <w:name w:val="Intense Quote Char"/>
    <w:basedOn w:val="DefaultParagraphFont"/>
    <w:link w:val="IntenseQuote"/>
    <w:uiPriority w:val="30"/>
    <w:rsid w:val="00F04DD6"/>
    <w:rPr>
      <w:i/>
      <w:iCs/>
      <w:color w:val="5B9BD5" w:themeColor="accent1"/>
    </w:rPr>
  </w:style>
  <w:style w:type="paragraph" w:styleId="ListNumber">
    <w:name w:val="List Number"/>
    <w:basedOn w:val="Normal"/>
    <w:uiPriority w:val="99"/>
    <w:unhideWhenUsed/>
    <w:rsid w:val="0097526A"/>
    <w:pPr>
      <w:numPr>
        <w:numId w:val="7"/>
      </w:numPr>
    </w:pPr>
  </w:style>
  <w:style w:type="paragraph" w:styleId="FootnoteText">
    <w:name w:val="footnote text"/>
    <w:basedOn w:val="Normal"/>
    <w:link w:val="FootnoteTextChar"/>
    <w:uiPriority w:val="99"/>
    <w:semiHidden/>
    <w:unhideWhenUsed/>
    <w:rsid w:val="00F04D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DD6"/>
    <w:rPr>
      <w:sz w:val="20"/>
      <w:szCs w:val="20"/>
    </w:rPr>
  </w:style>
  <w:style w:type="character" w:styleId="FootnoteReference">
    <w:name w:val="footnote reference"/>
    <w:basedOn w:val="DefaultParagraphFont"/>
    <w:uiPriority w:val="99"/>
    <w:semiHidden/>
    <w:unhideWhenUsed/>
    <w:rsid w:val="00F04DD6"/>
    <w:rPr>
      <w:vertAlign w:val="superscript"/>
    </w:rPr>
  </w:style>
  <w:style w:type="character" w:styleId="Emphasis">
    <w:name w:val="Emphasis"/>
    <w:basedOn w:val="DefaultParagraphFont"/>
    <w:uiPriority w:val="20"/>
    <w:qFormat/>
    <w:rsid w:val="00BA61DE"/>
    <w:rPr>
      <w:i/>
      <w:iCs/>
    </w:rPr>
  </w:style>
  <w:style w:type="paragraph" w:styleId="EndnoteText">
    <w:name w:val="endnote text"/>
    <w:basedOn w:val="Normal"/>
    <w:link w:val="EndnoteTextChar"/>
    <w:uiPriority w:val="99"/>
    <w:unhideWhenUsed/>
    <w:rsid w:val="00BA61DE"/>
    <w:pPr>
      <w:spacing w:after="0" w:line="240" w:lineRule="auto"/>
    </w:pPr>
    <w:rPr>
      <w:rFonts w:ascii="Cambria" w:hAnsi="Cambria"/>
      <w:sz w:val="20"/>
      <w:szCs w:val="20"/>
    </w:rPr>
  </w:style>
  <w:style w:type="character" w:customStyle="1" w:styleId="EndnoteTextChar">
    <w:name w:val="Endnote Text Char"/>
    <w:basedOn w:val="DefaultParagraphFont"/>
    <w:link w:val="EndnoteText"/>
    <w:uiPriority w:val="99"/>
    <w:rsid w:val="00BA61DE"/>
    <w:rPr>
      <w:rFonts w:ascii="Cambria" w:hAnsi="Cambria"/>
      <w:sz w:val="20"/>
      <w:szCs w:val="20"/>
    </w:rPr>
  </w:style>
  <w:style w:type="character" w:styleId="EndnoteReference">
    <w:name w:val="endnote reference"/>
    <w:basedOn w:val="DefaultParagraphFont"/>
    <w:uiPriority w:val="99"/>
    <w:semiHidden/>
    <w:unhideWhenUsed/>
    <w:rsid w:val="00BA61DE"/>
    <w:rPr>
      <w:vertAlign w:val="superscript"/>
    </w:rPr>
  </w:style>
  <w:style w:type="paragraph" w:styleId="Caption">
    <w:name w:val="caption"/>
    <w:basedOn w:val="Normal"/>
    <w:next w:val="Normal"/>
    <w:uiPriority w:val="35"/>
    <w:unhideWhenUsed/>
    <w:qFormat/>
    <w:rsid w:val="00BA61DE"/>
    <w:pPr>
      <w:spacing w:before="200" w:after="200" w:line="240" w:lineRule="auto"/>
      <w:jc w:val="center"/>
    </w:pPr>
    <w:rPr>
      <w:rFonts w:ascii="Cambria" w:hAnsi="Cambria"/>
      <w:b/>
      <w:bCs/>
      <w:sz w:val="18"/>
      <w:szCs w:val="18"/>
    </w:rPr>
  </w:style>
  <w:style w:type="character" w:customStyle="1" w:styleId="Heading3Char">
    <w:name w:val="Heading 3 Char"/>
    <w:basedOn w:val="DefaultParagraphFont"/>
    <w:link w:val="Heading3"/>
    <w:uiPriority w:val="9"/>
    <w:rsid w:val="00DC04AC"/>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564074"/>
    <w:pPr>
      <w:tabs>
        <w:tab w:val="left" w:pos="440"/>
        <w:tab w:val="right" w:leader="dot" w:pos="9010"/>
      </w:tabs>
      <w:spacing w:before="120" w:after="0"/>
    </w:pPr>
    <w:rPr>
      <w:b/>
      <w:bCs/>
      <w:sz w:val="24"/>
      <w:szCs w:val="24"/>
    </w:rPr>
  </w:style>
  <w:style w:type="paragraph" w:styleId="TOC2">
    <w:name w:val="toc 2"/>
    <w:basedOn w:val="Normal"/>
    <w:next w:val="Normal"/>
    <w:autoRedefine/>
    <w:uiPriority w:val="39"/>
    <w:unhideWhenUsed/>
    <w:rsid w:val="007037DA"/>
    <w:pPr>
      <w:spacing w:after="0"/>
      <w:ind w:left="220"/>
    </w:pPr>
    <w:rPr>
      <w:b/>
      <w:bCs/>
    </w:rPr>
  </w:style>
  <w:style w:type="paragraph" w:styleId="TOC3">
    <w:name w:val="toc 3"/>
    <w:basedOn w:val="Normal"/>
    <w:next w:val="Normal"/>
    <w:autoRedefine/>
    <w:uiPriority w:val="39"/>
    <w:unhideWhenUsed/>
    <w:rsid w:val="007037DA"/>
    <w:pPr>
      <w:spacing w:after="0"/>
      <w:ind w:left="440"/>
    </w:pPr>
  </w:style>
  <w:style w:type="character" w:styleId="Hyperlink">
    <w:name w:val="Hyperlink"/>
    <w:basedOn w:val="DefaultParagraphFont"/>
    <w:uiPriority w:val="99"/>
    <w:unhideWhenUsed/>
    <w:rsid w:val="007037D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1740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17404"/>
    <w:rPr>
      <w:rFonts w:ascii="Cambria" w:hAnsi="Cambria"/>
      <w:b/>
      <w:bCs/>
      <w:sz w:val="20"/>
      <w:szCs w:val="20"/>
    </w:rPr>
  </w:style>
  <w:style w:type="character" w:customStyle="1" w:styleId="Heading4Char">
    <w:name w:val="Heading 4 Char"/>
    <w:basedOn w:val="DefaultParagraphFont"/>
    <w:link w:val="Heading4"/>
    <w:uiPriority w:val="9"/>
    <w:rsid w:val="00B76173"/>
    <w:rPr>
      <w:rFonts w:asciiTheme="majorHAnsi" w:eastAsiaTheme="majorEastAsia" w:hAnsiTheme="majorHAnsi" w:cstheme="majorBidi"/>
      <w:i/>
      <w:iCs/>
      <w:color w:val="2E74B5" w:themeColor="accent1" w:themeShade="BF"/>
    </w:rPr>
  </w:style>
  <w:style w:type="paragraph" w:styleId="ListBullet2">
    <w:name w:val="List Bullet 2"/>
    <w:basedOn w:val="Normal"/>
    <w:uiPriority w:val="99"/>
    <w:unhideWhenUsed/>
    <w:rsid w:val="00875533"/>
    <w:pPr>
      <w:numPr>
        <w:numId w:val="6"/>
      </w:numPr>
      <w:contextualSpacing/>
    </w:pPr>
  </w:style>
  <w:style w:type="character" w:customStyle="1" w:styleId="Heading5Char">
    <w:name w:val="Heading 5 Char"/>
    <w:basedOn w:val="DefaultParagraphFont"/>
    <w:link w:val="Heading5"/>
    <w:uiPriority w:val="9"/>
    <w:semiHidden/>
    <w:rsid w:val="002436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4365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4365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436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365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82087"/>
    <w:rPr>
      <w:color w:val="954F72" w:themeColor="followedHyperlink"/>
      <w:u w:val="single"/>
    </w:rPr>
  </w:style>
  <w:style w:type="paragraph" w:customStyle="1" w:styleId="ListCheckboxItem">
    <w:name w:val="List Checkbox Item"/>
    <w:basedOn w:val="ListBullet"/>
    <w:qFormat/>
    <w:rsid w:val="00E4740C"/>
    <w:pPr>
      <w:numPr>
        <w:numId w:val="9"/>
      </w:numPr>
      <w:spacing w:after="0" w:line="240" w:lineRule="auto"/>
    </w:pPr>
    <w:rPr>
      <w:rFonts w:ascii="Cambria" w:hAnsi="Cambria"/>
    </w:rPr>
  </w:style>
  <w:style w:type="paragraph" w:customStyle="1" w:styleId="Appendix2">
    <w:name w:val="Appendix 2"/>
    <w:basedOn w:val="Heading3"/>
    <w:qFormat/>
    <w:rsid w:val="00E4740C"/>
    <w:pPr>
      <w:numPr>
        <w:ilvl w:val="0"/>
        <w:numId w:val="0"/>
      </w:numPr>
      <w:spacing w:before="240" w:after="240" w:line="276" w:lineRule="auto"/>
    </w:pPr>
    <w:rPr>
      <w:b/>
      <w:bCs/>
      <w:color w:val="auto"/>
      <w:sz w:val="22"/>
      <w:szCs w:val="22"/>
    </w:rPr>
  </w:style>
  <w:style w:type="paragraph" w:styleId="ListContinue">
    <w:name w:val="List Continue"/>
    <w:basedOn w:val="Normal"/>
    <w:uiPriority w:val="99"/>
    <w:semiHidden/>
    <w:unhideWhenUsed/>
    <w:rsid w:val="00E4740C"/>
    <w:pPr>
      <w:spacing w:after="120"/>
      <w:ind w:left="360"/>
      <w:contextualSpacing/>
    </w:pPr>
  </w:style>
  <w:style w:type="paragraph" w:styleId="Footer">
    <w:name w:val="footer"/>
    <w:basedOn w:val="Normal"/>
    <w:link w:val="FooterChar"/>
    <w:uiPriority w:val="99"/>
    <w:unhideWhenUsed/>
    <w:rsid w:val="00E4740C"/>
    <w:pPr>
      <w:tabs>
        <w:tab w:val="center" w:pos="4680"/>
        <w:tab w:val="right" w:pos="9360"/>
      </w:tabs>
      <w:spacing w:after="0" w:line="240" w:lineRule="auto"/>
    </w:pPr>
    <w:rPr>
      <w:rFonts w:ascii="Cambria" w:hAnsi="Cambria"/>
    </w:rPr>
  </w:style>
  <w:style w:type="character" w:customStyle="1" w:styleId="FooterChar">
    <w:name w:val="Footer Char"/>
    <w:basedOn w:val="DefaultParagraphFont"/>
    <w:link w:val="Footer"/>
    <w:uiPriority w:val="99"/>
    <w:rsid w:val="00E4740C"/>
    <w:rPr>
      <w:rFonts w:ascii="Cambria" w:hAnsi="Cambria"/>
    </w:rPr>
  </w:style>
  <w:style w:type="paragraph" w:customStyle="1" w:styleId="Appendix1">
    <w:name w:val="Appendix 1"/>
    <w:basedOn w:val="Heading2"/>
    <w:qFormat/>
    <w:rsid w:val="00E4740C"/>
    <w:pPr>
      <w:numPr>
        <w:ilvl w:val="0"/>
        <w:numId w:val="10"/>
      </w:numPr>
      <w:tabs>
        <w:tab w:val="left" w:pos="1800"/>
      </w:tabs>
      <w:spacing w:line="276" w:lineRule="auto"/>
    </w:pPr>
    <w:rPr>
      <w:b/>
      <w:bCs/>
      <w:color w:val="auto"/>
    </w:rPr>
  </w:style>
  <w:style w:type="paragraph" w:styleId="Revision">
    <w:name w:val="Revision"/>
    <w:hidden/>
    <w:uiPriority w:val="99"/>
    <w:semiHidden/>
    <w:rsid w:val="00DF0DB1"/>
    <w:pPr>
      <w:spacing w:after="0" w:line="240" w:lineRule="auto"/>
    </w:pPr>
  </w:style>
  <w:style w:type="character" w:styleId="PageNumber">
    <w:name w:val="page number"/>
    <w:basedOn w:val="DefaultParagraphFont"/>
    <w:uiPriority w:val="99"/>
    <w:semiHidden/>
    <w:unhideWhenUsed/>
    <w:rsid w:val="007E1871"/>
  </w:style>
  <w:style w:type="paragraph" w:customStyle="1" w:styleId="Default">
    <w:name w:val="Default"/>
    <w:rsid w:val="00E7249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920E6"/>
    <w:pPr>
      <w:spacing w:after="0" w:line="240" w:lineRule="auto"/>
    </w:pPr>
  </w:style>
  <w:style w:type="character" w:customStyle="1" w:styleId="y0nh2b">
    <w:name w:val="y0nh2b"/>
    <w:basedOn w:val="DefaultParagraphFont"/>
    <w:rsid w:val="00A364FB"/>
  </w:style>
  <w:style w:type="table" w:customStyle="1" w:styleId="TableGrid1">
    <w:name w:val="Table Grid1"/>
    <w:basedOn w:val="TableNormal"/>
    <w:next w:val="TableGrid"/>
    <w:uiPriority w:val="59"/>
    <w:rsid w:val="00B343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43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C289D"/>
    <w:pPr>
      <w:spacing w:after="0"/>
      <w:ind w:left="660"/>
    </w:pPr>
    <w:rPr>
      <w:sz w:val="20"/>
      <w:szCs w:val="20"/>
    </w:rPr>
  </w:style>
  <w:style w:type="paragraph" w:styleId="TOC5">
    <w:name w:val="toc 5"/>
    <w:basedOn w:val="Normal"/>
    <w:next w:val="Normal"/>
    <w:autoRedefine/>
    <w:uiPriority w:val="39"/>
    <w:unhideWhenUsed/>
    <w:rsid w:val="009C289D"/>
    <w:pPr>
      <w:spacing w:after="0"/>
      <w:ind w:left="880"/>
    </w:pPr>
    <w:rPr>
      <w:sz w:val="20"/>
      <w:szCs w:val="20"/>
    </w:rPr>
  </w:style>
  <w:style w:type="paragraph" w:styleId="TOC6">
    <w:name w:val="toc 6"/>
    <w:basedOn w:val="Normal"/>
    <w:next w:val="Normal"/>
    <w:autoRedefine/>
    <w:uiPriority w:val="39"/>
    <w:unhideWhenUsed/>
    <w:rsid w:val="009C289D"/>
    <w:pPr>
      <w:spacing w:after="0"/>
      <w:ind w:left="1100"/>
    </w:pPr>
    <w:rPr>
      <w:sz w:val="20"/>
      <w:szCs w:val="20"/>
    </w:rPr>
  </w:style>
  <w:style w:type="paragraph" w:styleId="TOC7">
    <w:name w:val="toc 7"/>
    <w:basedOn w:val="Normal"/>
    <w:next w:val="Normal"/>
    <w:autoRedefine/>
    <w:uiPriority w:val="39"/>
    <w:unhideWhenUsed/>
    <w:rsid w:val="009C289D"/>
    <w:pPr>
      <w:spacing w:after="0"/>
      <w:ind w:left="1320"/>
    </w:pPr>
    <w:rPr>
      <w:sz w:val="20"/>
      <w:szCs w:val="20"/>
    </w:rPr>
  </w:style>
  <w:style w:type="paragraph" w:styleId="TOC8">
    <w:name w:val="toc 8"/>
    <w:basedOn w:val="Normal"/>
    <w:next w:val="Normal"/>
    <w:autoRedefine/>
    <w:uiPriority w:val="39"/>
    <w:unhideWhenUsed/>
    <w:rsid w:val="009C289D"/>
    <w:pPr>
      <w:spacing w:after="0"/>
      <w:ind w:left="1540"/>
    </w:pPr>
    <w:rPr>
      <w:sz w:val="20"/>
      <w:szCs w:val="20"/>
    </w:rPr>
  </w:style>
  <w:style w:type="paragraph" w:styleId="TOC9">
    <w:name w:val="toc 9"/>
    <w:basedOn w:val="Normal"/>
    <w:next w:val="Normal"/>
    <w:autoRedefine/>
    <w:uiPriority w:val="39"/>
    <w:unhideWhenUsed/>
    <w:rsid w:val="009C289D"/>
    <w:pPr>
      <w:spacing w:after="0"/>
      <w:ind w:left="1760"/>
    </w:pPr>
    <w:rPr>
      <w:sz w:val="20"/>
      <w:szCs w:val="20"/>
    </w:rPr>
  </w:style>
  <w:style w:type="character" w:styleId="UnresolvedMention">
    <w:name w:val="Unresolved Mention"/>
    <w:basedOn w:val="DefaultParagraphFont"/>
    <w:uiPriority w:val="99"/>
    <w:semiHidden/>
    <w:unhideWhenUsed/>
    <w:rsid w:val="007A5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423">
      <w:bodyDiv w:val="1"/>
      <w:marLeft w:val="0"/>
      <w:marRight w:val="0"/>
      <w:marTop w:val="0"/>
      <w:marBottom w:val="0"/>
      <w:divBdr>
        <w:top w:val="none" w:sz="0" w:space="0" w:color="auto"/>
        <w:left w:val="none" w:sz="0" w:space="0" w:color="auto"/>
        <w:bottom w:val="none" w:sz="0" w:space="0" w:color="auto"/>
        <w:right w:val="none" w:sz="0" w:space="0" w:color="auto"/>
      </w:divBdr>
    </w:div>
    <w:div w:id="61608438">
      <w:bodyDiv w:val="1"/>
      <w:marLeft w:val="0"/>
      <w:marRight w:val="0"/>
      <w:marTop w:val="0"/>
      <w:marBottom w:val="0"/>
      <w:divBdr>
        <w:top w:val="none" w:sz="0" w:space="0" w:color="auto"/>
        <w:left w:val="none" w:sz="0" w:space="0" w:color="auto"/>
        <w:bottom w:val="none" w:sz="0" w:space="0" w:color="auto"/>
        <w:right w:val="none" w:sz="0" w:space="0" w:color="auto"/>
      </w:divBdr>
    </w:div>
    <w:div w:id="192354128">
      <w:bodyDiv w:val="1"/>
      <w:marLeft w:val="0"/>
      <w:marRight w:val="0"/>
      <w:marTop w:val="0"/>
      <w:marBottom w:val="0"/>
      <w:divBdr>
        <w:top w:val="none" w:sz="0" w:space="0" w:color="auto"/>
        <w:left w:val="none" w:sz="0" w:space="0" w:color="auto"/>
        <w:bottom w:val="none" w:sz="0" w:space="0" w:color="auto"/>
        <w:right w:val="none" w:sz="0" w:space="0" w:color="auto"/>
      </w:divBdr>
    </w:div>
    <w:div w:id="240606686">
      <w:bodyDiv w:val="1"/>
      <w:marLeft w:val="0"/>
      <w:marRight w:val="0"/>
      <w:marTop w:val="0"/>
      <w:marBottom w:val="0"/>
      <w:divBdr>
        <w:top w:val="none" w:sz="0" w:space="0" w:color="auto"/>
        <w:left w:val="none" w:sz="0" w:space="0" w:color="auto"/>
        <w:bottom w:val="none" w:sz="0" w:space="0" w:color="auto"/>
        <w:right w:val="none" w:sz="0" w:space="0" w:color="auto"/>
      </w:divBdr>
      <w:divsChild>
        <w:div w:id="2088185074">
          <w:marLeft w:val="547"/>
          <w:marRight w:val="0"/>
          <w:marTop w:val="77"/>
          <w:marBottom w:val="0"/>
          <w:divBdr>
            <w:top w:val="none" w:sz="0" w:space="0" w:color="auto"/>
            <w:left w:val="none" w:sz="0" w:space="0" w:color="auto"/>
            <w:bottom w:val="none" w:sz="0" w:space="0" w:color="auto"/>
            <w:right w:val="none" w:sz="0" w:space="0" w:color="auto"/>
          </w:divBdr>
        </w:div>
        <w:div w:id="1260407817">
          <w:marLeft w:val="547"/>
          <w:marRight w:val="0"/>
          <w:marTop w:val="77"/>
          <w:marBottom w:val="0"/>
          <w:divBdr>
            <w:top w:val="none" w:sz="0" w:space="0" w:color="auto"/>
            <w:left w:val="none" w:sz="0" w:space="0" w:color="auto"/>
            <w:bottom w:val="none" w:sz="0" w:space="0" w:color="auto"/>
            <w:right w:val="none" w:sz="0" w:space="0" w:color="auto"/>
          </w:divBdr>
        </w:div>
        <w:div w:id="98065288">
          <w:marLeft w:val="547"/>
          <w:marRight w:val="0"/>
          <w:marTop w:val="77"/>
          <w:marBottom w:val="0"/>
          <w:divBdr>
            <w:top w:val="none" w:sz="0" w:space="0" w:color="auto"/>
            <w:left w:val="none" w:sz="0" w:space="0" w:color="auto"/>
            <w:bottom w:val="none" w:sz="0" w:space="0" w:color="auto"/>
            <w:right w:val="none" w:sz="0" w:space="0" w:color="auto"/>
          </w:divBdr>
        </w:div>
        <w:div w:id="1751921931">
          <w:marLeft w:val="547"/>
          <w:marRight w:val="0"/>
          <w:marTop w:val="77"/>
          <w:marBottom w:val="0"/>
          <w:divBdr>
            <w:top w:val="none" w:sz="0" w:space="0" w:color="auto"/>
            <w:left w:val="none" w:sz="0" w:space="0" w:color="auto"/>
            <w:bottom w:val="none" w:sz="0" w:space="0" w:color="auto"/>
            <w:right w:val="none" w:sz="0" w:space="0" w:color="auto"/>
          </w:divBdr>
        </w:div>
        <w:div w:id="697319821">
          <w:marLeft w:val="547"/>
          <w:marRight w:val="0"/>
          <w:marTop w:val="77"/>
          <w:marBottom w:val="0"/>
          <w:divBdr>
            <w:top w:val="none" w:sz="0" w:space="0" w:color="auto"/>
            <w:left w:val="none" w:sz="0" w:space="0" w:color="auto"/>
            <w:bottom w:val="none" w:sz="0" w:space="0" w:color="auto"/>
            <w:right w:val="none" w:sz="0" w:space="0" w:color="auto"/>
          </w:divBdr>
        </w:div>
        <w:div w:id="544216263">
          <w:marLeft w:val="547"/>
          <w:marRight w:val="0"/>
          <w:marTop w:val="77"/>
          <w:marBottom w:val="0"/>
          <w:divBdr>
            <w:top w:val="none" w:sz="0" w:space="0" w:color="auto"/>
            <w:left w:val="none" w:sz="0" w:space="0" w:color="auto"/>
            <w:bottom w:val="none" w:sz="0" w:space="0" w:color="auto"/>
            <w:right w:val="none" w:sz="0" w:space="0" w:color="auto"/>
          </w:divBdr>
        </w:div>
        <w:div w:id="1177766338">
          <w:marLeft w:val="547"/>
          <w:marRight w:val="0"/>
          <w:marTop w:val="77"/>
          <w:marBottom w:val="0"/>
          <w:divBdr>
            <w:top w:val="none" w:sz="0" w:space="0" w:color="auto"/>
            <w:left w:val="none" w:sz="0" w:space="0" w:color="auto"/>
            <w:bottom w:val="none" w:sz="0" w:space="0" w:color="auto"/>
            <w:right w:val="none" w:sz="0" w:space="0" w:color="auto"/>
          </w:divBdr>
        </w:div>
        <w:div w:id="2037193733">
          <w:marLeft w:val="547"/>
          <w:marRight w:val="0"/>
          <w:marTop w:val="77"/>
          <w:marBottom w:val="0"/>
          <w:divBdr>
            <w:top w:val="none" w:sz="0" w:space="0" w:color="auto"/>
            <w:left w:val="none" w:sz="0" w:space="0" w:color="auto"/>
            <w:bottom w:val="none" w:sz="0" w:space="0" w:color="auto"/>
            <w:right w:val="none" w:sz="0" w:space="0" w:color="auto"/>
          </w:divBdr>
        </w:div>
        <w:div w:id="725446616">
          <w:marLeft w:val="547"/>
          <w:marRight w:val="0"/>
          <w:marTop w:val="77"/>
          <w:marBottom w:val="0"/>
          <w:divBdr>
            <w:top w:val="none" w:sz="0" w:space="0" w:color="auto"/>
            <w:left w:val="none" w:sz="0" w:space="0" w:color="auto"/>
            <w:bottom w:val="none" w:sz="0" w:space="0" w:color="auto"/>
            <w:right w:val="none" w:sz="0" w:space="0" w:color="auto"/>
          </w:divBdr>
        </w:div>
        <w:div w:id="1201018295">
          <w:marLeft w:val="547"/>
          <w:marRight w:val="0"/>
          <w:marTop w:val="77"/>
          <w:marBottom w:val="0"/>
          <w:divBdr>
            <w:top w:val="none" w:sz="0" w:space="0" w:color="auto"/>
            <w:left w:val="none" w:sz="0" w:space="0" w:color="auto"/>
            <w:bottom w:val="none" w:sz="0" w:space="0" w:color="auto"/>
            <w:right w:val="none" w:sz="0" w:space="0" w:color="auto"/>
          </w:divBdr>
        </w:div>
      </w:divsChild>
    </w:div>
    <w:div w:id="404382736">
      <w:bodyDiv w:val="1"/>
      <w:marLeft w:val="0"/>
      <w:marRight w:val="0"/>
      <w:marTop w:val="0"/>
      <w:marBottom w:val="0"/>
      <w:divBdr>
        <w:top w:val="none" w:sz="0" w:space="0" w:color="auto"/>
        <w:left w:val="none" w:sz="0" w:space="0" w:color="auto"/>
        <w:bottom w:val="none" w:sz="0" w:space="0" w:color="auto"/>
        <w:right w:val="none" w:sz="0" w:space="0" w:color="auto"/>
      </w:divBdr>
    </w:div>
    <w:div w:id="440565660">
      <w:bodyDiv w:val="1"/>
      <w:marLeft w:val="0"/>
      <w:marRight w:val="0"/>
      <w:marTop w:val="0"/>
      <w:marBottom w:val="0"/>
      <w:divBdr>
        <w:top w:val="none" w:sz="0" w:space="0" w:color="auto"/>
        <w:left w:val="none" w:sz="0" w:space="0" w:color="auto"/>
        <w:bottom w:val="none" w:sz="0" w:space="0" w:color="auto"/>
        <w:right w:val="none" w:sz="0" w:space="0" w:color="auto"/>
      </w:divBdr>
    </w:div>
    <w:div w:id="579370868">
      <w:bodyDiv w:val="1"/>
      <w:marLeft w:val="0"/>
      <w:marRight w:val="0"/>
      <w:marTop w:val="0"/>
      <w:marBottom w:val="0"/>
      <w:divBdr>
        <w:top w:val="none" w:sz="0" w:space="0" w:color="auto"/>
        <w:left w:val="none" w:sz="0" w:space="0" w:color="auto"/>
        <w:bottom w:val="none" w:sz="0" w:space="0" w:color="auto"/>
        <w:right w:val="none" w:sz="0" w:space="0" w:color="auto"/>
      </w:divBdr>
      <w:divsChild>
        <w:div w:id="485243302">
          <w:marLeft w:val="0"/>
          <w:marRight w:val="0"/>
          <w:marTop w:val="0"/>
          <w:marBottom w:val="0"/>
          <w:divBdr>
            <w:top w:val="none" w:sz="0" w:space="0" w:color="auto"/>
            <w:left w:val="none" w:sz="0" w:space="0" w:color="auto"/>
            <w:bottom w:val="none" w:sz="0" w:space="0" w:color="auto"/>
            <w:right w:val="none" w:sz="0" w:space="0" w:color="auto"/>
          </w:divBdr>
        </w:div>
      </w:divsChild>
    </w:div>
    <w:div w:id="620184667">
      <w:bodyDiv w:val="1"/>
      <w:marLeft w:val="0"/>
      <w:marRight w:val="0"/>
      <w:marTop w:val="0"/>
      <w:marBottom w:val="0"/>
      <w:divBdr>
        <w:top w:val="none" w:sz="0" w:space="0" w:color="auto"/>
        <w:left w:val="none" w:sz="0" w:space="0" w:color="auto"/>
        <w:bottom w:val="none" w:sz="0" w:space="0" w:color="auto"/>
        <w:right w:val="none" w:sz="0" w:space="0" w:color="auto"/>
      </w:divBdr>
    </w:div>
    <w:div w:id="638412745">
      <w:bodyDiv w:val="1"/>
      <w:marLeft w:val="0"/>
      <w:marRight w:val="0"/>
      <w:marTop w:val="0"/>
      <w:marBottom w:val="0"/>
      <w:divBdr>
        <w:top w:val="none" w:sz="0" w:space="0" w:color="auto"/>
        <w:left w:val="none" w:sz="0" w:space="0" w:color="auto"/>
        <w:bottom w:val="none" w:sz="0" w:space="0" w:color="auto"/>
        <w:right w:val="none" w:sz="0" w:space="0" w:color="auto"/>
      </w:divBdr>
    </w:div>
    <w:div w:id="667558053">
      <w:bodyDiv w:val="1"/>
      <w:marLeft w:val="0"/>
      <w:marRight w:val="0"/>
      <w:marTop w:val="0"/>
      <w:marBottom w:val="0"/>
      <w:divBdr>
        <w:top w:val="none" w:sz="0" w:space="0" w:color="auto"/>
        <w:left w:val="none" w:sz="0" w:space="0" w:color="auto"/>
        <w:bottom w:val="none" w:sz="0" w:space="0" w:color="auto"/>
        <w:right w:val="none" w:sz="0" w:space="0" w:color="auto"/>
      </w:divBdr>
    </w:div>
    <w:div w:id="697700996">
      <w:bodyDiv w:val="1"/>
      <w:marLeft w:val="0"/>
      <w:marRight w:val="0"/>
      <w:marTop w:val="0"/>
      <w:marBottom w:val="0"/>
      <w:divBdr>
        <w:top w:val="none" w:sz="0" w:space="0" w:color="auto"/>
        <w:left w:val="none" w:sz="0" w:space="0" w:color="auto"/>
        <w:bottom w:val="none" w:sz="0" w:space="0" w:color="auto"/>
        <w:right w:val="none" w:sz="0" w:space="0" w:color="auto"/>
      </w:divBdr>
    </w:div>
    <w:div w:id="723334311">
      <w:bodyDiv w:val="1"/>
      <w:marLeft w:val="0"/>
      <w:marRight w:val="0"/>
      <w:marTop w:val="0"/>
      <w:marBottom w:val="0"/>
      <w:divBdr>
        <w:top w:val="none" w:sz="0" w:space="0" w:color="auto"/>
        <w:left w:val="none" w:sz="0" w:space="0" w:color="auto"/>
        <w:bottom w:val="none" w:sz="0" w:space="0" w:color="auto"/>
        <w:right w:val="none" w:sz="0" w:space="0" w:color="auto"/>
      </w:divBdr>
    </w:div>
    <w:div w:id="872116785">
      <w:bodyDiv w:val="1"/>
      <w:marLeft w:val="0"/>
      <w:marRight w:val="0"/>
      <w:marTop w:val="0"/>
      <w:marBottom w:val="0"/>
      <w:divBdr>
        <w:top w:val="none" w:sz="0" w:space="0" w:color="auto"/>
        <w:left w:val="none" w:sz="0" w:space="0" w:color="auto"/>
        <w:bottom w:val="none" w:sz="0" w:space="0" w:color="auto"/>
        <w:right w:val="none" w:sz="0" w:space="0" w:color="auto"/>
      </w:divBdr>
    </w:div>
    <w:div w:id="898134596">
      <w:bodyDiv w:val="1"/>
      <w:marLeft w:val="0"/>
      <w:marRight w:val="0"/>
      <w:marTop w:val="0"/>
      <w:marBottom w:val="0"/>
      <w:divBdr>
        <w:top w:val="none" w:sz="0" w:space="0" w:color="auto"/>
        <w:left w:val="none" w:sz="0" w:space="0" w:color="auto"/>
        <w:bottom w:val="none" w:sz="0" w:space="0" w:color="auto"/>
        <w:right w:val="none" w:sz="0" w:space="0" w:color="auto"/>
      </w:divBdr>
    </w:div>
    <w:div w:id="917597238">
      <w:bodyDiv w:val="1"/>
      <w:marLeft w:val="0"/>
      <w:marRight w:val="0"/>
      <w:marTop w:val="0"/>
      <w:marBottom w:val="0"/>
      <w:divBdr>
        <w:top w:val="none" w:sz="0" w:space="0" w:color="auto"/>
        <w:left w:val="none" w:sz="0" w:space="0" w:color="auto"/>
        <w:bottom w:val="none" w:sz="0" w:space="0" w:color="auto"/>
        <w:right w:val="none" w:sz="0" w:space="0" w:color="auto"/>
      </w:divBdr>
    </w:div>
    <w:div w:id="998970902">
      <w:bodyDiv w:val="1"/>
      <w:marLeft w:val="0"/>
      <w:marRight w:val="0"/>
      <w:marTop w:val="0"/>
      <w:marBottom w:val="0"/>
      <w:divBdr>
        <w:top w:val="none" w:sz="0" w:space="0" w:color="auto"/>
        <w:left w:val="none" w:sz="0" w:space="0" w:color="auto"/>
        <w:bottom w:val="none" w:sz="0" w:space="0" w:color="auto"/>
        <w:right w:val="none" w:sz="0" w:space="0" w:color="auto"/>
      </w:divBdr>
    </w:div>
    <w:div w:id="1043211079">
      <w:bodyDiv w:val="1"/>
      <w:marLeft w:val="0"/>
      <w:marRight w:val="0"/>
      <w:marTop w:val="0"/>
      <w:marBottom w:val="0"/>
      <w:divBdr>
        <w:top w:val="none" w:sz="0" w:space="0" w:color="auto"/>
        <w:left w:val="none" w:sz="0" w:space="0" w:color="auto"/>
        <w:bottom w:val="none" w:sz="0" w:space="0" w:color="auto"/>
        <w:right w:val="none" w:sz="0" w:space="0" w:color="auto"/>
      </w:divBdr>
    </w:div>
    <w:div w:id="1050223989">
      <w:bodyDiv w:val="1"/>
      <w:marLeft w:val="0"/>
      <w:marRight w:val="0"/>
      <w:marTop w:val="0"/>
      <w:marBottom w:val="0"/>
      <w:divBdr>
        <w:top w:val="none" w:sz="0" w:space="0" w:color="auto"/>
        <w:left w:val="none" w:sz="0" w:space="0" w:color="auto"/>
        <w:bottom w:val="none" w:sz="0" w:space="0" w:color="auto"/>
        <w:right w:val="none" w:sz="0" w:space="0" w:color="auto"/>
      </w:divBdr>
    </w:div>
    <w:div w:id="1173956263">
      <w:bodyDiv w:val="1"/>
      <w:marLeft w:val="0"/>
      <w:marRight w:val="0"/>
      <w:marTop w:val="0"/>
      <w:marBottom w:val="0"/>
      <w:divBdr>
        <w:top w:val="none" w:sz="0" w:space="0" w:color="auto"/>
        <w:left w:val="none" w:sz="0" w:space="0" w:color="auto"/>
        <w:bottom w:val="none" w:sz="0" w:space="0" w:color="auto"/>
        <w:right w:val="none" w:sz="0" w:space="0" w:color="auto"/>
      </w:divBdr>
    </w:div>
    <w:div w:id="1209494016">
      <w:bodyDiv w:val="1"/>
      <w:marLeft w:val="0"/>
      <w:marRight w:val="0"/>
      <w:marTop w:val="0"/>
      <w:marBottom w:val="0"/>
      <w:divBdr>
        <w:top w:val="none" w:sz="0" w:space="0" w:color="auto"/>
        <w:left w:val="none" w:sz="0" w:space="0" w:color="auto"/>
        <w:bottom w:val="none" w:sz="0" w:space="0" w:color="auto"/>
        <w:right w:val="none" w:sz="0" w:space="0" w:color="auto"/>
      </w:divBdr>
    </w:div>
    <w:div w:id="1213268540">
      <w:bodyDiv w:val="1"/>
      <w:marLeft w:val="0"/>
      <w:marRight w:val="0"/>
      <w:marTop w:val="0"/>
      <w:marBottom w:val="0"/>
      <w:divBdr>
        <w:top w:val="none" w:sz="0" w:space="0" w:color="auto"/>
        <w:left w:val="none" w:sz="0" w:space="0" w:color="auto"/>
        <w:bottom w:val="none" w:sz="0" w:space="0" w:color="auto"/>
        <w:right w:val="none" w:sz="0" w:space="0" w:color="auto"/>
      </w:divBdr>
      <w:divsChild>
        <w:div w:id="1257396879">
          <w:marLeft w:val="0"/>
          <w:marRight w:val="0"/>
          <w:marTop w:val="0"/>
          <w:marBottom w:val="0"/>
          <w:divBdr>
            <w:top w:val="none" w:sz="0" w:space="0" w:color="auto"/>
            <w:left w:val="none" w:sz="0" w:space="0" w:color="auto"/>
            <w:bottom w:val="none" w:sz="0" w:space="0" w:color="auto"/>
            <w:right w:val="none" w:sz="0" w:space="0" w:color="auto"/>
          </w:divBdr>
        </w:div>
      </w:divsChild>
    </w:div>
    <w:div w:id="1269042655">
      <w:bodyDiv w:val="1"/>
      <w:marLeft w:val="0"/>
      <w:marRight w:val="0"/>
      <w:marTop w:val="0"/>
      <w:marBottom w:val="0"/>
      <w:divBdr>
        <w:top w:val="none" w:sz="0" w:space="0" w:color="auto"/>
        <w:left w:val="none" w:sz="0" w:space="0" w:color="auto"/>
        <w:bottom w:val="none" w:sz="0" w:space="0" w:color="auto"/>
        <w:right w:val="none" w:sz="0" w:space="0" w:color="auto"/>
      </w:divBdr>
    </w:div>
    <w:div w:id="1397124238">
      <w:bodyDiv w:val="1"/>
      <w:marLeft w:val="0"/>
      <w:marRight w:val="0"/>
      <w:marTop w:val="0"/>
      <w:marBottom w:val="0"/>
      <w:divBdr>
        <w:top w:val="none" w:sz="0" w:space="0" w:color="auto"/>
        <w:left w:val="none" w:sz="0" w:space="0" w:color="auto"/>
        <w:bottom w:val="none" w:sz="0" w:space="0" w:color="auto"/>
        <w:right w:val="none" w:sz="0" w:space="0" w:color="auto"/>
      </w:divBdr>
    </w:div>
    <w:div w:id="1476676216">
      <w:bodyDiv w:val="1"/>
      <w:marLeft w:val="0"/>
      <w:marRight w:val="0"/>
      <w:marTop w:val="0"/>
      <w:marBottom w:val="0"/>
      <w:divBdr>
        <w:top w:val="none" w:sz="0" w:space="0" w:color="auto"/>
        <w:left w:val="none" w:sz="0" w:space="0" w:color="auto"/>
        <w:bottom w:val="none" w:sz="0" w:space="0" w:color="auto"/>
        <w:right w:val="none" w:sz="0" w:space="0" w:color="auto"/>
      </w:divBdr>
    </w:div>
    <w:div w:id="1512453172">
      <w:bodyDiv w:val="1"/>
      <w:marLeft w:val="0"/>
      <w:marRight w:val="0"/>
      <w:marTop w:val="0"/>
      <w:marBottom w:val="0"/>
      <w:divBdr>
        <w:top w:val="none" w:sz="0" w:space="0" w:color="auto"/>
        <w:left w:val="none" w:sz="0" w:space="0" w:color="auto"/>
        <w:bottom w:val="none" w:sz="0" w:space="0" w:color="auto"/>
        <w:right w:val="none" w:sz="0" w:space="0" w:color="auto"/>
      </w:divBdr>
    </w:div>
    <w:div w:id="1578595163">
      <w:bodyDiv w:val="1"/>
      <w:marLeft w:val="0"/>
      <w:marRight w:val="0"/>
      <w:marTop w:val="0"/>
      <w:marBottom w:val="0"/>
      <w:divBdr>
        <w:top w:val="none" w:sz="0" w:space="0" w:color="auto"/>
        <w:left w:val="none" w:sz="0" w:space="0" w:color="auto"/>
        <w:bottom w:val="none" w:sz="0" w:space="0" w:color="auto"/>
        <w:right w:val="none" w:sz="0" w:space="0" w:color="auto"/>
      </w:divBdr>
    </w:div>
    <w:div w:id="1610165902">
      <w:bodyDiv w:val="1"/>
      <w:marLeft w:val="0"/>
      <w:marRight w:val="0"/>
      <w:marTop w:val="0"/>
      <w:marBottom w:val="0"/>
      <w:divBdr>
        <w:top w:val="none" w:sz="0" w:space="0" w:color="auto"/>
        <w:left w:val="none" w:sz="0" w:space="0" w:color="auto"/>
        <w:bottom w:val="none" w:sz="0" w:space="0" w:color="auto"/>
        <w:right w:val="none" w:sz="0" w:space="0" w:color="auto"/>
      </w:divBdr>
      <w:divsChild>
        <w:div w:id="1180895808">
          <w:marLeft w:val="0"/>
          <w:marRight w:val="0"/>
          <w:marTop w:val="0"/>
          <w:marBottom w:val="0"/>
          <w:divBdr>
            <w:top w:val="none" w:sz="0" w:space="0" w:color="auto"/>
            <w:left w:val="none" w:sz="0" w:space="0" w:color="auto"/>
            <w:bottom w:val="none" w:sz="0" w:space="0" w:color="auto"/>
            <w:right w:val="none" w:sz="0" w:space="0" w:color="auto"/>
          </w:divBdr>
        </w:div>
        <w:div w:id="1218391235">
          <w:marLeft w:val="0"/>
          <w:marRight w:val="0"/>
          <w:marTop w:val="0"/>
          <w:marBottom w:val="0"/>
          <w:divBdr>
            <w:top w:val="none" w:sz="0" w:space="0" w:color="auto"/>
            <w:left w:val="none" w:sz="0" w:space="0" w:color="auto"/>
            <w:bottom w:val="none" w:sz="0" w:space="0" w:color="auto"/>
            <w:right w:val="none" w:sz="0" w:space="0" w:color="auto"/>
          </w:divBdr>
        </w:div>
        <w:div w:id="1164203797">
          <w:marLeft w:val="600"/>
          <w:marRight w:val="0"/>
          <w:marTop w:val="0"/>
          <w:marBottom w:val="0"/>
          <w:divBdr>
            <w:top w:val="none" w:sz="0" w:space="0" w:color="auto"/>
            <w:left w:val="none" w:sz="0" w:space="0" w:color="auto"/>
            <w:bottom w:val="none" w:sz="0" w:space="0" w:color="auto"/>
            <w:right w:val="none" w:sz="0" w:space="0" w:color="auto"/>
          </w:divBdr>
        </w:div>
      </w:divsChild>
    </w:div>
    <w:div w:id="1661932503">
      <w:bodyDiv w:val="1"/>
      <w:marLeft w:val="0"/>
      <w:marRight w:val="0"/>
      <w:marTop w:val="0"/>
      <w:marBottom w:val="0"/>
      <w:divBdr>
        <w:top w:val="none" w:sz="0" w:space="0" w:color="auto"/>
        <w:left w:val="none" w:sz="0" w:space="0" w:color="auto"/>
        <w:bottom w:val="none" w:sz="0" w:space="0" w:color="auto"/>
        <w:right w:val="none" w:sz="0" w:space="0" w:color="auto"/>
      </w:divBdr>
    </w:div>
    <w:div w:id="1686246151">
      <w:bodyDiv w:val="1"/>
      <w:marLeft w:val="0"/>
      <w:marRight w:val="0"/>
      <w:marTop w:val="0"/>
      <w:marBottom w:val="0"/>
      <w:divBdr>
        <w:top w:val="none" w:sz="0" w:space="0" w:color="auto"/>
        <w:left w:val="none" w:sz="0" w:space="0" w:color="auto"/>
        <w:bottom w:val="none" w:sz="0" w:space="0" w:color="auto"/>
        <w:right w:val="none" w:sz="0" w:space="0" w:color="auto"/>
      </w:divBdr>
      <w:divsChild>
        <w:div w:id="1267543326">
          <w:marLeft w:val="0"/>
          <w:marRight w:val="0"/>
          <w:marTop w:val="0"/>
          <w:marBottom w:val="0"/>
          <w:divBdr>
            <w:top w:val="none" w:sz="0" w:space="0" w:color="auto"/>
            <w:left w:val="none" w:sz="0" w:space="0" w:color="auto"/>
            <w:bottom w:val="none" w:sz="0" w:space="0" w:color="auto"/>
            <w:right w:val="none" w:sz="0" w:space="0" w:color="auto"/>
          </w:divBdr>
        </w:div>
      </w:divsChild>
    </w:div>
    <w:div w:id="1715158747">
      <w:bodyDiv w:val="1"/>
      <w:marLeft w:val="0"/>
      <w:marRight w:val="0"/>
      <w:marTop w:val="0"/>
      <w:marBottom w:val="0"/>
      <w:divBdr>
        <w:top w:val="none" w:sz="0" w:space="0" w:color="auto"/>
        <w:left w:val="none" w:sz="0" w:space="0" w:color="auto"/>
        <w:bottom w:val="none" w:sz="0" w:space="0" w:color="auto"/>
        <w:right w:val="none" w:sz="0" w:space="0" w:color="auto"/>
      </w:divBdr>
    </w:div>
    <w:div w:id="1746949206">
      <w:bodyDiv w:val="1"/>
      <w:marLeft w:val="0"/>
      <w:marRight w:val="0"/>
      <w:marTop w:val="0"/>
      <w:marBottom w:val="0"/>
      <w:divBdr>
        <w:top w:val="none" w:sz="0" w:space="0" w:color="auto"/>
        <w:left w:val="none" w:sz="0" w:space="0" w:color="auto"/>
        <w:bottom w:val="none" w:sz="0" w:space="0" w:color="auto"/>
        <w:right w:val="none" w:sz="0" w:space="0" w:color="auto"/>
      </w:divBdr>
    </w:div>
    <w:div w:id="1767381262">
      <w:bodyDiv w:val="1"/>
      <w:marLeft w:val="0"/>
      <w:marRight w:val="0"/>
      <w:marTop w:val="0"/>
      <w:marBottom w:val="0"/>
      <w:divBdr>
        <w:top w:val="none" w:sz="0" w:space="0" w:color="auto"/>
        <w:left w:val="none" w:sz="0" w:space="0" w:color="auto"/>
        <w:bottom w:val="none" w:sz="0" w:space="0" w:color="auto"/>
        <w:right w:val="none" w:sz="0" w:space="0" w:color="auto"/>
      </w:divBdr>
    </w:div>
    <w:div w:id="1802533479">
      <w:bodyDiv w:val="1"/>
      <w:marLeft w:val="0"/>
      <w:marRight w:val="0"/>
      <w:marTop w:val="0"/>
      <w:marBottom w:val="0"/>
      <w:divBdr>
        <w:top w:val="none" w:sz="0" w:space="0" w:color="auto"/>
        <w:left w:val="none" w:sz="0" w:space="0" w:color="auto"/>
        <w:bottom w:val="none" w:sz="0" w:space="0" w:color="auto"/>
        <w:right w:val="none" w:sz="0" w:space="0" w:color="auto"/>
      </w:divBdr>
    </w:div>
    <w:div w:id="1872955982">
      <w:bodyDiv w:val="1"/>
      <w:marLeft w:val="0"/>
      <w:marRight w:val="0"/>
      <w:marTop w:val="0"/>
      <w:marBottom w:val="0"/>
      <w:divBdr>
        <w:top w:val="none" w:sz="0" w:space="0" w:color="auto"/>
        <w:left w:val="none" w:sz="0" w:space="0" w:color="auto"/>
        <w:bottom w:val="none" w:sz="0" w:space="0" w:color="auto"/>
        <w:right w:val="none" w:sz="0" w:space="0" w:color="auto"/>
      </w:divBdr>
    </w:div>
    <w:div w:id="1938366432">
      <w:bodyDiv w:val="1"/>
      <w:marLeft w:val="0"/>
      <w:marRight w:val="0"/>
      <w:marTop w:val="0"/>
      <w:marBottom w:val="0"/>
      <w:divBdr>
        <w:top w:val="none" w:sz="0" w:space="0" w:color="auto"/>
        <w:left w:val="none" w:sz="0" w:space="0" w:color="auto"/>
        <w:bottom w:val="none" w:sz="0" w:space="0" w:color="auto"/>
        <w:right w:val="none" w:sz="0" w:space="0" w:color="auto"/>
      </w:divBdr>
      <w:divsChild>
        <w:div w:id="570887238">
          <w:marLeft w:val="0"/>
          <w:marRight w:val="0"/>
          <w:marTop w:val="0"/>
          <w:marBottom w:val="0"/>
          <w:divBdr>
            <w:top w:val="none" w:sz="0" w:space="0" w:color="auto"/>
            <w:left w:val="none" w:sz="0" w:space="0" w:color="auto"/>
            <w:bottom w:val="none" w:sz="0" w:space="0" w:color="auto"/>
            <w:right w:val="none" w:sz="0" w:space="0" w:color="auto"/>
          </w:divBdr>
          <w:divsChild>
            <w:div w:id="1941713644">
              <w:marLeft w:val="0"/>
              <w:marRight w:val="0"/>
              <w:marTop w:val="0"/>
              <w:marBottom w:val="0"/>
              <w:divBdr>
                <w:top w:val="none" w:sz="0" w:space="0" w:color="auto"/>
                <w:left w:val="none" w:sz="0" w:space="0" w:color="auto"/>
                <w:bottom w:val="none" w:sz="0" w:space="0" w:color="auto"/>
                <w:right w:val="none" w:sz="0" w:space="0" w:color="auto"/>
              </w:divBdr>
              <w:divsChild>
                <w:div w:id="1860509461">
                  <w:marLeft w:val="0"/>
                  <w:marRight w:val="0"/>
                  <w:marTop w:val="0"/>
                  <w:marBottom w:val="0"/>
                  <w:divBdr>
                    <w:top w:val="none" w:sz="0" w:space="0" w:color="auto"/>
                    <w:left w:val="none" w:sz="0" w:space="0" w:color="auto"/>
                    <w:bottom w:val="none" w:sz="0" w:space="0" w:color="auto"/>
                    <w:right w:val="none" w:sz="0" w:space="0" w:color="auto"/>
                  </w:divBdr>
                  <w:divsChild>
                    <w:div w:id="461197837">
                      <w:marLeft w:val="0"/>
                      <w:marRight w:val="0"/>
                      <w:marTop w:val="0"/>
                      <w:marBottom w:val="0"/>
                      <w:divBdr>
                        <w:top w:val="none" w:sz="0" w:space="0" w:color="auto"/>
                        <w:left w:val="none" w:sz="0" w:space="0" w:color="auto"/>
                        <w:bottom w:val="none" w:sz="0" w:space="0" w:color="auto"/>
                        <w:right w:val="none" w:sz="0" w:space="0" w:color="auto"/>
                      </w:divBdr>
                      <w:divsChild>
                        <w:div w:id="1228030301">
                          <w:marLeft w:val="0"/>
                          <w:marRight w:val="0"/>
                          <w:marTop w:val="0"/>
                          <w:marBottom w:val="0"/>
                          <w:divBdr>
                            <w:top w:val="none" w:sz="0" w:space="0" w:color="auto"/>
                            <w:left w:val="none" w:sz="0" w:space="0" w:color="auto"/>
                            <w:bottom w:val="none" w:sz="0" w:space="0" w:color="auto"/>
                            <w:right w:val="none" w:sz="0" w:space="0" w:color="auto"/>
                          </w:divBdr>
                          <w:divsChild>
                            <w:div w:id="558635011">
                              <w:marLeft w:val="0"/>
                              <w:marRight w:val="0"/>
                              <w:marTop w:val="0"/>
                              <w:marBottom w:val="0"/>
                              <w:divBdr>
                                <w:top w:val="none" w:sz="0" w:space="0" w:color="auto"/>
                                <w:left w:val="none" w:sz="0" w:space="0" w:color="auto"/>
                                <w:bottom w:val="none" w:sz="0" w:space="0" w:color="auto"/>
                                <w:right w:val="none" w:sz="0" w:space="0" w:color="auto"/>
                              </w:divBdr>
                              <w:divsChild>
                                <w:div w:id="1820459696">
                                  <w:marLeft w:val="-225"/>
                                  <w:marRight w:val="-225"/>
                                  <w:marTop w:val="0"/>
                                  <w:marBottom w:val="0"/>
                                  <w:divBdr>
                                    <w:top w:val="none" w:sz="0" w:space="0" w:color="auto"/>
                                    <w:left w:val="none" w:sz="0" w:space="0" w:color="auto"/>
                                    <w:bottom w:val="none" w:sz="0" w:space="0" w:color="auto"/>
                                    <w:right w:val="none" w:sz="0" w:space="0" w:color="auto"/>
                                  </w:divBdr>
                                  <w:divsChild>
                                    <w:div w:id="11734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97077">
      <w:bodyDiv w:val="1"/>
      <w:marLeft w:val="0"/>
      <w:marRight w:val="0"/>
      <w:marTop w:val="0"/>
      <w:marBottom w:val="0"/>
      <w:divBdr>
        <w:top w:val="none" w:sz="0" w:space="0" w:color="auto"/>
        <w:left w:val="none" w:sz="0" w:space="0" w:color="auto"/>
        <w:bottom w:val="none" w:sz="0" w:space="0" w:color="auto"/>
        <w:right w:val="none" w:sz="0" w:space="0" w:color="auto"/>
      </w:divBdr>
    </w:div>
    <w:div w:id="1989481918">
      <w:bodyDiv w:val="1"/>
      <w:marLeft w:val="0"/>
      <w:marRight w:val="0"/>
      <w:marTop w:val="0"/>
      <w:marBottom w:val="0"/>
      <w:divBdr>
        <w:top w:val="none" w:sz="0" w:space="0" w:color="auto"/>
        <w:left w:val="none" w:sz="0" w:space="0" w:color="auto"/>
        <w:bottom w:val="none" w:sz="0" w:space="0" w:color="auto"/>
        <w:right w:val="none" w:sz="0" w:space="0" w:color="auto"/>
      </w:divBdr>
      <w:divsChild>
        <w:div w:id="109867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pmg.com/uk/en/blogs/home/posts/2023/04/why-a--cloud-exit-strategy--is-essential-to-enable-the-futur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ctionary.cambridge.org/dictionary/english/exit-strate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ers.vidstrup@regionh.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
</file>

<file path=customXml/itemProps1.xml><?xml version="1.0" encoding="utf-8"?>
<ds:datastoreItem xmlns:ds="http://schemas.openxmlformats.org/officeDocument/2006/customXml" ds:itemID="{264B84C3-51FA-45DE-B825-781E74959D46}"/>
</file>

<file path=customXml/itemProps2.xml><?xml version="1.0" encoding="utf-8"?>
<ds:datastoreItem xmlns:ds="http://schemas.openxmlformats.org/officeDocument/2006/customXml" ds:itemID="{791DA302-31C8-460D-B67A-91C356EBE546}">
  <ds:schemaRefs>
    <ds:schemaRef ds:uri="http://schemas.openxmlformats.org/officeDocument/2006/bibliography"/>
  </ds:schemaRefs>
</ds:datastoreItem>
</file>

<file path=customXml/itemProps3.xml><?xml version="1.0" encoding="utf-8"?>
<ds:datastoreItem xmlns:ds="http://schemas.openxmlformats.org/officeDocument/2006/customXml" ds:itemID="{5FAAFCCF-2BF5-4EB9-928C-A1707855B823}"/>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USE - Cloud Services Adoption Framework</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 Cloud Services Adoption Framework</dc:title>
  <dc:creator>avid@nnit.com</dc:creator>
  <cp:lastModifiedBy>Lauren White</cp:lastModifiedBy>
  <cp:revision>3</cp:revision>
  <cp:lastPrinted>2016-11-07T09:03:00Z</cp:lastPrinted>
  <dcterms:created xsi:type="dcterms:W3CDTF">2025-09-12T13:33:00Z</dcterms:created>
  <dcterms:modified xsi:type="dcterms:W3CDTF">2025-09-12T14:02:00Z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13f0cb32-1bae-4301-946f-b2c14ff5b88a</vt:lpwstr>
  </property>
  <property fmtid="{D5CDD505-2E9C-101B-9397-08002B2CF9AE}" pid="3" name="bjSaver">
    <vt:lpwstr>AZIB6PZsvdQOlji9T+GPacu2sGc3WG+y</vt:lpwstr>
  </property>
  <property fmtid="{D5CDD505-2E9C-101B-9397-08002B2CF9AE}" pid="4" name="DM_Version">
    <vt:lpwstr>CURRENT,1.0</vt:lpwstr>
  </property>
  <property fmtid="{D5CDD505-2E9C-101B-9397-08002B2CF9AE}" pid="5" name="DM_Name">
    <vt:lpwstr>03.1.1 PhUSE Document on Clouds</vt:lpwstr>
  </property>
  <property fmtid="{D5CDD505-2E9C-101B-9397-08002B2CF9AE}" pid="6" name="DM_Creation_Date">
    <vt:lpwstr>25/11/2015 18:59:45</vt:lpwstr>
  </property>
  <property fmtid="{D5CDD505-2E9C-101B-9397-08002B2CF9AE}" pid="7" name="DM_Modify_Date">
    <vt:lpwstr>25/11/2015 18:59:45</vt:lpwstr>
  </property>
  <property fmtid="{D5CDD505-2E9C-101B-9397-08002B2CF9AE}" pid="8" name="DM_Creator_Name">
    <vt:lpwstr>Gondro Mariola</vt:lpwstr>
  </property>
  <property fmtid="{D5CDD505-2E9C-101B-9397-08002B2CF9AE}" pid="9" name="DM_Modifier_Name">
    <vt:lpwstr>Gondro Mariola</vt:lpwstr>
  </property>
  <property fmtid="{D5CDD505-2E9C-101B-9397-08002B2CF9AE}" pid="10" name="DM_Type">
    <vt:lpwstr>emea_document</vt:lpwstr>
  </property>
  <property fmtid="{D5CDD505-2E9C-101B-9397-08002B2CF9AE}" pid="11" name="DM_DocRefId">
    <vt:lpwstr>EMA/793290/2015</vt:lpwstr>
  </property>
  <property fmtid="{D5CDD505-2E9C-101B-9397-08002B2CF9AE}" pid="12" name="DM_Category">
    <vt:lpwstr>General</vt:lpwstr>
  </property>
  <property fmtid="{D5CDD505-2E9C-101B-9397-08002B2CF9AE}" pid="13" name="DM_Path">
    <vt:lpwstr>/04. Inspections/1. GCP/GCP IWG/2. Meeting organisation/2015/11 30-02/Presentations/Presentations_30 11</vt:lpwstr>
  </property>
  <property fmtid="{D5CDD505-2E9C-101B-9397-08002B2CF9AE}" pid="14" name="DM_emea_doc_ref_id">
    <vt:lpwstr>EMA/793290/2015</vt:lpwstr>
  </property>
  <property fmtid="{D5CDD505-2E9C-101B-9397-08002B2CF9AE}" pid="15" name="DM_Modifer_Name">
    <vt:lpwstr>Gondro Mariola</vt:lpwstr>
  </property>
  <property fmtid="{D5CDD505-2E9C-101B-9397-08002B2CF9AE}" pid="16" name="DM_Modified_Date">
    <vt:lpwstr>25/11/2015 18:59:45</vt:lpwstr>
  </property>
  <property fmtid="{D5CDD505-2E9C-101B-9397-08002B2CF9AE}" pid="17"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8" name="bjDocumentLabelXML-0">
    <vt:lpwstr>nternal/label"&gt;&lt;element uid="9920fcc9-9f43-4d43-9e3e-b98a219cfd55" value="" /&gt;&lt;/sisl&gt;</vt:lpwstr>
  </property>
  <property fmtid="{D5CDD505-2E9C-101B-9397-08002B2CF9AE}" pid="19" name="bjDocumentSecurityLabel">
    <vt:lpwstr>Not Classified</vt:lpwstr>
  </property>
  <property fmtid="{D5CDD505-2E9C-101B-9397-08002B2CF9AE}" pid="20" name="_NewReviewCycle">
    <vt:lpwstr/>
  </property>
</Properties>
</file>