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B0239" w14:textId="77777777" w:rsidR="00010D39" w:rsidRDefault="00010D39"/>
    <w:p w14:paraId="350129C9" w14:textId="77777777" w:rsidR="0088557B" w:rsidRDefault="0088557B"/>
    <w:p w14:paraId="08ACDF23" w14:textId="77777777" w:rsidR="0088557B" w:rsidRDefault="0088557B"/>
    <w:p w14:paraId="6AF8F065" w14:textId="77777777" w:rsidR="0088557B" w:rsidRDefault="0088557B"/>
    <w:p w14:paraId="7CED0065" w14:textId="77777777" w:rsidR="0088557B" w:rsidRDefault="0088557B" w:rsidP="0088557B">
      <w:pPr>
        <w:spacing w:before="120" w:after="0" w:line="110" w:lineRule="exact"/>
        <w:rPr>
          <w:sz w:val="11"/>
          <w:szCs w:val="11"/>
        </w:rPr>
      </w:pPr>
    </w:p>
    <w:p w14:paraId="52E5FC25" w14:textId="77777777" w:rsidR="00B47A0E" w:rsidRDefault="00B47A0E" w:rsidP="00190C19">
      <w:pPr>
        <w:tabs>
          <w:tab w:val="left" w:pos="1520"/>
        </w:tabs>
        <w:spacing w:before="120" w:after="0" w:line="264" w:lineRule="exact"/>
        <w:ind w:left="101" w:right="-14"/>
        <w:rPr>
          <w:rFonts w:eastAsia="Times New Roman" w:cstheme="minorHAnsi"/>
          <w:i/>
          <w:position w:val="1"/>
          <w:sz w:val="40"/>
          <w:szCs w:val="40"/>
        </w:rPr>
      </w:pPr>
    </w:p>
    <w:p w14:paraId="77EF5718" w14:textId="77777777" w:rsidR="00232560" w:rsidRDefault="004E6409" w:rsidP="04890AF3">
      <w:pPr>
        <w:tabs>
          <w:tab w:val="left" w:pos="1520"/>
        </w:tabs>
        <w:spacing w:before="120" w:after="0" w:line="264" w:lineRule="exact"/>
        <w:ind w:left="101" w:right="-14"/>
        <w:jc w:val="center"/>
        <w:rPr>
          <w:rFonts w:eastAsia="Times New Roman"/>
          <w:i/>
          <w:iCs/>
          <w:position w:val="1"/>
          <w:sz w:val="40"/>
          <w:szCs w:val="40"/>
        </w:rPr>
      </w:pPr>
      <w:r w:rsidRPr="04890AF3">
        <w:rPr>
          <w:rFonts w:eastAsia="Times New Roman"/>
          <w:i/>
          <w:iCs/>
          <w:position w:val="1"/>
          <w:sz w:val="40"/>
          <w:szCs w:val="40"/>
        </w:rPr>
        <w:t xml:space="preserve">Appendix 3. </w:t>
      </w:r>
      <w:r w:rsidR="003F0B03" w:rsidRPr="04890AF3">
        <w:rPr>
          <w:rFonts w:eastAsia="Times New Roman"/>
          <w:i/>
          <w:iCs/>
          <w:sz w:val="40"/>
          <w:szCs w:val="40"/>
        </w:rPr>
        <w:t xml:space="preserve">Examples of </w:t>
      </w:r>
      <w:proofErr w:type="spellStart"/>
      <w:r w:rsidR="0FC403E0" w:rsidRPr="04890AF3">
        <w:rPr>
          <w:rFonts w:eastAsia="Times New Roman"/>
          <w:i/>
          <w:iCs/>
          <w:sz w:val="40"/>
          <w:szCs w:val="40"/>
        </w:rPr>
        <w:t>Un</w:t>
      </w:r>
      <w:r w:rsidR="298E691F" w:rsidRPr="04890AF3">
        <w:rPr>
          <w:rFonts w:eastAsia="Times New Roman"/>
          <w:i/>
          <w:iCs/>
          <w:sz w:val="40"/>
          <w:szCs w:val="40"/>
        </w:rPr>
        <w:t>s</w:t>
      </w:r>
      <w:r w:rsidR="003F0B03" w:rsidRPr="04890AF3">
        <w:rPr>
          <w:rFonts w:eastAsia="Times New Roman"/>
          <w:i/>
          <w:iCs/>
          <w:position w:val="1"/>
          <w:sz w:val="40"/>
          <w:szCs w:val="40"/>
        </w:rPr>
        <w:t>tructured</w:t>
      </w:r>
      <w:proofErr w:type="spellEnd"/>
      <w:r w:rsidR="003F0B03" w:rsidRPr="04890AF3">
        <w:rPr>
          <w:rFonts w:eastAsia="Times New Roman"/>
          <w:i/>
          <w:iCs/>
          <w:position w:val="1"/>
          <w:sz w:val="40"/>
          <w:szCs w:val="40"/>
        </w:rPr>
        <w:t xml:space="preserve"> IPD</w:t>
      </w:r>
    </w:p>
    <w:p w14:paraId="3B0C438A" w14:textId="28CDBD99" w:rsidR="00B47A0E" w:rsidRDefault="003F0B03" w:rsidP="04890AF3">
      <w:pPr>
        <w:tabs>
          <w:tab w:val="left" w:pos="1520"/>
        </w:tabs>
        <w:spacing w:before="120" w:after="0" w:line="264" w:lineRule="exact"/>
        <w:ind w:left="101" w:right="-14"/>
        <w:jc w:val="center"/>
        <w:rPr>
          <w:rFonts w:eastAsia="Times New Roman"/>
          <w:i/>
          <w:iCs/>
          <w:position w:val="1"/>
          <w:sz w:val="40"/>
          <w:szCs w:val="40"/>
        </w:rPr>
      </w:pPr>
      <w:r w:rsidRPr="04890AF3">
        <w:rPr>
          <w:rFonts w:eastAsia="Times New Roman"/>
          <w:i/>
          <w:iCs/>
          <w:position w:val="1"/>
          <w:sz w:val="40"/>
          <w:szCs w:val="40"/>
        </w:rPr>
        <w:t xml:space="preserve"> </w:t>
      </w:r>
      <w:proofErr w:type="spellStart"/>
      <w:r w:rsidRPr="04890AF3">
        <w:rPr>
          <w:rFonts w:eastAsia="Times New Roman"/>
          <w:i/>
          <w:iCs/>
          <w:position w:val="1"/>
          <w:sz w:val="40"/>
          <w:szCs w:val="40"/>
        </w:rPr>
        <w:t>Anonymisation</w:t>
      </w:r>
      <w:proofErr w:type="spellEnd"/>
      <w:r w:rsidR="00C76FA0" w:rsidRPr="04890AF3">
        <w:rPr>
          <w:rFonts w:eastAsia="Times New Roman"/>
          <w:i/>
          <w:iCs/>
          <w:position w:val="1"/>
          <w:sz w:val="40"/>
          <w:szCs w:val="40"/>
        </w:rPr>
        <w:t xml:space="preserve"> </w:t>
      </w:r>
    </w:p>
    <w:p w14:paraId="2D861F99" w14:textId="77777777" w:rsidR="0088557B" w:rsidRDefault="0088557B" w:rsidP="0088557B">
      <w:pPr>
        <w:tabs>
          <w:tab w:val="left" w:pos="1520"/>
        </w:tabs>
        <w:spacing w:before="120" w:after="0" w:line="264" w:lineRule="exact"/>
        <w:ind w:left="101" w:right="-14"/>
        <w:rPr>
          <w:rFonts w:eastAsia="Times New Roman" w:cstheme="minorHAnsi"/>
          <w:i/>
          <w:position w:val="1"/>
          <w:sz w:val="40"/>
          <w:szCs w:val="40"/>
        </w:rPr>
      </w:pPr>
    </w:p>
    <w:p w14:paraId="2BC4CABF" w14:textId="77777777" w:rsidR="008019FC" w:rsidRDefault="008019FC" w:rsidP="008019FC">
      <w:pPr>
        <w:spacing w:after="0" w:line="240" w:lineRule="auto"/>
        <w:ind w:left="12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</w:rPr>
        <w:t>R</w:t>
      </w:r>
      <w:r>
        <w:rPr>
          <w:rFonts w:ascii="Cambria" w:eastAsia="Cambria" w:hAnsi="Cambria" w:cs="Cambria"/>
          <w:b/>
          <w:bCs/>
          <w:spacing w:val="1"/>
        </w:rPr>
        <w:t>e</w:t>
      </w:r>
      <w:r>
        <w:rPr>
          <w:rFonts w:ascii="Cambria" w:eastAsia="Cambria" w:hAnsi="Cambria" w:cs="Cambria"/>
          <w:b/>
          <w:bCs/>
        </w:rPr>
        <w:t>vi</w:t>
      </w:r>
      <w:r>
        <w:rPr>
          <w:rFonts w:ascii="Cambria" w:eastAsia="Cambria" w:hAnsi="Cambria" w:cs="Cambria"/>
          <w:b/>
          <w:bCs/>
          <w:spacing w:val="-1"/>
        </w:rPr>
        <w:t>s</w:t>
      </w:r>
      <w:r>
        <w:rPr>
          <w:rFonts w:ascii="Cambria" w:eastAsia="Cambria" w:hAnsi="Cambria" w:cs="Cambria"/>
          <w:b/>
          <w:bCs/>
        </w:rPr>
        <w:t>i</w:t>
      </w:r>
      <w:r>
        <w:rPr>
          <w:rFonts w:ascii="Cambria" w:eastAsia="Cambria" w:hAnsi="Cambria" w:cs="Cambria"/>
          <w:b/>
          <w:bCs/>
          <w:spacing w:val="-3"/>
        </w:rPr>
        <w:t>o</w:t>
      </w:r>
      <w:r>
        <w:rPr>
          <w:rFonts w:ascii="Cambria" w:eastAsia="Cambria" w:hAnsi="Cambria" w:cs="Cambria"/>
          <w:b/>
          <w:bCs/>
        </w:rPr>
        <w:t>n</w:t>
      </w:r>
      <w:r>
        <w:rPr>
          <w:rFonts w:ascii="Cambria" w:eastAsia="Cambria" w:hAnsi="Cambria" w:cs="Cambria"/>
          <w:b/>
          <w:bCs/>
          <w:spacing w:val="1"/>
        </w:rPr>
        <w:t xml:space="preserve"> </w:t>
      </w:r>
      <w:r>
        <w:rPr>
          <w:rFonts w:ascii="Cambria" w:eastAsia="Cambria" w:hAnsi="Cambria" w:cs="Cambria"/>
          <w:b/>
          <w:bCs/>
          <w:spacing w:val="-1"/>
        </w:rPr>
        <w:t>H</w:t>
      </w:r>
      <w:r>
        <w:rPr>
          <w:rFonts w:ascii="Cambria" w:eastAsia="Cambria" w:hAnsi="Cambria" w:cs="Cambria"/>
          <w:b/>
          <w:bCs/>
        </w:rPr>
        <w:t>i</w:t>
      </w:r>
      <w:r>
        <w:rPr>
          <w:rFonts w:ascii="Cambria" w:eastAsia="Cambria" w:hAnsi="Cambria" w:cs="Cambria"/>
          <w:b/>
          <w:bCs/>
          <w:spacing w:val="-1"/>
        </w:rPr>
        <w:t>s</w:t>
      </w:r>
      <w:r>
        <w:rPr>
          <w:rFonts w:ascii="Cambria" w:eastAsia="Cambria" w:hAnsi="Cambria" w:cs="Cambria"/>
          <w:b/>
          <w:bCs/>
          <w:spacing w:val="1"/>
        </w:rPr>
        <w:t>t</w:t>
      </w:r>
      <w:r>
        <w:rPr>
          <w:rFonts w:ascii="Cambria" w:eastAsia="Cambria" w:hAnsi="Cambria" w:cs="Cambria"/>
          <w:b/>
          <w:bCs/>
          <w:spacing w:val="-1"/>
        </w:rPr>
        <w:t>or</w:t>
      </w:r>
      <w:r>
        <w:rPr>
          <w:rFonts w:ascii="Cambria" w:eastAsia="Cambria" w:hAnsi="Cambria" w:cs="Cambria"/>
          <w:b/>
          <w:bCs/>
        </w:rPr>
        <w:t>y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350"/>
        <w:gridCol w:w="6145"/>
      </w:tblGrid>
      <w:tr w:rsidR="008019FC" w14:paraId="20A29E3E" w14:textId="77777777" w:rsidTr="008019FC">
        <w:trPr>
          <w:trHeight w:hRule="exact" w:val="266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</w:tcPr>
          <w:p w14:paraId="37A2BB9B" w14:textId="77777777" w:rsidR="008019FC" w:rsidRDefault="008019FC" w:rsidP="00F460DF">
            <w:pPr>
              <w:spacing w:after="0" w:line="255" w:lineRule="exact"/>
              <w:ind w:left="10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</w:rPr>
              <w:t>Version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</w:tcPr>
          <w:p w14:paraId="79040851" w14:textId="77777777" w:rsidR="008019FC" w:rsidRDefault="008019FC" w:rsidP="00F460DF">
            <w:pPr>
              <w:spacing w:after="0" w:line="255" w:lineRule="exact"/>
              <w:ind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  <w:spacing w:val="-1"/>
              </w:rPr>
              <w:t xml:space="preserve"> Date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</w:tcPr>
          <w:p w14:paraId="2ABFF18E" w14:textId="77777777" w:rsidR="008019FC" w:rsidRDefault="008019FC" w:rsidP="00F460DF">
            <w:pPr>
              <w:spacing w:after="0" w:line="255" w:lineRule="exact"/>
              <w:ind w:left="10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</w:rPr>
              <w:t>Summ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>ar</w:t>
            </w:r>
            <w:r>
              <w:rPr>
                <w:rFonts w:ascii="Cambria" w:eastAsia="Cambria" w:hAnsi="Cambria" w:cs="Cambria"/>
                <w:b/>
                <w:bCs/>
              </w:rPr>
              <w:t>y</w:t>
            </w:r>
          </w:p>
        </w:tc>
      </w:tr>
      <w:tr w:rsidR="008019FC" w14:paraId="5DBCD8FB" w14:textId="77777777" w:rsidTr="008019FC">
        <w:trPr>
          <w:trHeight w:hRule="exact" w:val="624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D7935" w14:textId="2A8D7F87" w:rsidR="008019FC" w:rsidRDefault="008019FC" w:rsidP="00F460DF">
            <w:pPr>
              <w:spacing w:after="0" w:line="257" w:lineRule="exact"/>
              <w:ind w:left="102" w:right="-20"/>
              <w:rPr>
                <w:rFonts w:ascii="Cambria" w:eastAsia="Cambria" w:hAnsi="Cambria" w:cs="Cambria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A113" w14:textId="6F99F86D" w:rsidR="008019FC" w:rsidRDefault="008019FC" w:rsidP="00F460DF">
            <w:pPr>
              <w:spacing w:after="0" w:line="257" w:lineRule="exact"/>
              <w:ind w:left="102" w:right="-20"/>
              <w:rPr>
                <w:rFonts w:ascii="Cambria" w:eastAsia="Cambria" w:hAnsi="Cambria" w:cs="Cambria"/>
              </w:rPr>
            </w:pP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31FEF" w14:textId="2B59D572" w:rsidR="008019FC" w:rsidRDefault="008019FC" w:rsidP="008019FC">
            <w:pPr>
              <w:spacing w:after="0" w:line="257" w:lineRule="exact"/>
              <w:ind w:right="-20"/>
              <w:rPr>
                <w:rFonts w:ascii="Cambria" w:eastAsia="Cambria" w:hAnsi="Cambria" w:cs="Cambria"/>
              </w:rPr>
            </w:pPr>
          </w:p>
        </w:tc>
      </w:tr>
    </w:tbl>
    <w:p w14:paraId="0D7708DA" w14:textId="77777777" w:rsidR="0088557B" w:rsidRPr="008019FC" w:rsidRDefault="0088557B" w:rsidP="0088557B">
      <w:pPr>
        <w:tabs>
          <w:tab w:val="left" w:pos="1520"/>
        </w:tabs>
        <w:spacing w:before="120" w:after="0" w:line="264" w:lineRule="exact"/>
        <w:ind w:left="101" w:right="-14"/>
        <w:rPr>
          <w:rFonts w:eastAsia="Times New Roman" w:cstheme="minorHAnsi"/>
          <w:position w:val="1"/>
          <w:sz w:val="40"/>
          <w:szCs w:val="40"/>
        </w:rPr>
      </w:pPr>
    </w:p>
    <w:p w14:paraId="2A9B45A0" w14:textId="77777777" w:rsidR="0088557B" w:rsidRPr="006670B3" w:rsidRDefault="0088557B" w:rsidP="0088557B">
      <w:pPr>
        <w:tabs>
          <w:tab w:val="left" w:pos="1520"/>
        </w:tabs>
        <w:spacing w:before="120" w:after="0" w:line="264" w:lineRule="exact"/>
        <w:ind w:left="101" w:right="-14"/>
        <w:rPr>
          <w:rFonts w:eastAsia="Times New Roman" w:cstheme="minorHAnsi"/>
          <w:i/>
          <w:position w:val="1"/>
          <w:sz w:val="40"/>
          <w:szCs w:val="40"/>
        </w:rPr>
      </w:pPr>
      <w:r>
        <w:rPr>
          <w:rFonts w:eastAsia="Times New Roman" w:cstheme="minorHAnsi"/>
          <w:i/>
          <w:position w:val="1"/>
          <w:sz w:val="40"/>
          <w:szCs w:val="40"/>
        </w:rPr>
        <w:tab/>
      </w:r>
      <w:r>
        <w:rPr>
          <w:rFonts w:eastAsia="Times New Roman" w:cstheme="minorHAnsi"/>
          <w:i/>
          <w:position w:val="1"/>
          <w:sz w:val="40"/>
          <w:szCs w:val="40"/>
        </w:rPr>
        <w:tab/>
      </w:r>
      <w:r>
        <w:rPr>
          <w:rFonts w:eastAsia="Times New Roman" w:cstheme="minorHAnsi"/>
          <w:i/>
          <w:position w:val="1"/>
          <w:sz w:val="40"/>
          <w:szCs w:val="40"/>
        </w:rPr>
        <w:tab/>
      </w:r>
      <w:r>
        <w:rPr>
          <w:rFonts w:eastAsia="Times New Roman" w:cstheme="minorHAnsi"/>
          <w:i/>
          <w:position w:val="1"/>
          <w:sz w:val="40"/>
          <w:szCs w:val="40"/>
        </w:rPr>
        <w:tab/>
      </w:r>
      <w:r>
        <w:rPr>
          <w:rFonts w:eastAsia="Times New Roman" w:cstheme="minorHAnsi"/>
          <w:i/>
          <w:position w:val="1"/>
          <w:sz w:val="40"/>
          <w:szCs w:val="40"/>
        </w:rPr>
        <w:tab/>
      </w:r>
      <w:r>
        <w:rPr>
          <w:rFonts w:eastAsia="Times New Roman" w:cstheme="minorHAnsi"/>
          <w:i/>
          <w:position w:val="1"/>
          <w:sz w:val="40"/>
          <w:szCs w:val="40"/>
        </w:rPr>
        <w:tab/>
      </w:r>
      <w:r>
        <w:rPr>
          <w:rFonts w:eastAsia="Times New Roman" w:cstheme="minorHAnsi"/>
          <w:i/>
          <w:position w:val="1"/>
          <w:sz w:val="40"/>
          <w:szCs w:val="40"/>
        </w:rPr>
        <w:tab/>
      </w:r>
      <w:r>
        <w:rPr>
          <w:rFonts w:eastAsia="Times New Roman" w:cstheme="minorHAnsi"/>
          <w:i/>
          <w:position w:val="1"/>
          <w:sz w:val="40"/>
          <w:szCs w:val="40"/>
        </w:rPr>
        <w:tab/>
      </w:r>
      <w:r>
        <w:rPr>
          <w:rFonts w:eastAsia="Times New Roman" w:cstheme="minorHAnsi"/>
          <w:i/>
          <w:position w:val="1"/>
          <w:sz w:val="40"/>
          <w:szCs w:val="40"/>
        </w:rPr>
        <w:tab/>
      </w:r>
      <w:r>
        <w:rPr>
          <w:rFonts w:eastAsia="Times New Roman" w:cstheme="minorHAnsi"/>
          <w:i/>
          <w:position w:val="1"/>
          <w:sz w:val="40"/>
          <w:szCs w:val="40"/>
        </w:rPr>
        <w:tab/>
      </w:r>
    </w:p>
    <w:p w14:paraId="7B663B73" w14:textId="77777777" w:rsidR="00DA5326" w:rsidRDefault="00DA5326" w:rsidP="0088557B">
      <w:pPr>
        <w:ind w:left="2160" w:firstLine="720"/>
      </w:pPr>
    </w:p>
    <w:p w14:paraId="1C039A20" w14:textId="77777777" w:rsidR="00DA5326" w:rsidRDefault="00DA5326" w:rsidP="0088557B">
      <w:pPr>
        <w:ind w:left="2160" w:firstLine="720"/>
      </w:pPr>
    </w:p>
    <w:p w14:paraId="513C6E1A" w14:textId="77777777" w:rsidR="00DA5326" w:rsidRDefault="00DA5326" w:rsidP="0088557B">
      <w:pPr>
        <w:ind w:left="2160" w:firstLine="720"/>
      </w:pPr>
    </w:p>
    <w:p w14:paraId="1658C94B" w14:textId="77777777" w:rsidR="00DA5326" w:rsidRDefault="00DA5326" w:rsidP="0088557B">
      <w:pPr>
        <w:ind w:left="2160" w:firstLine="720"/>
      </w:pPr>
    </w:p>
    <w:p w14:paraId="672F00A9" w14:textId="77777777" w:rsidR="00DA5326" w:rsidRDefault="00DA5326" w:rsidP="0088557B">
      <w:pPr>
        <w:ind w:left="2160" w:firstLine="720"/>
      </w:pPr>
    </w:p>
    <w:p w14:paraId="11393900" w14:textId="77777777" w:rsidR="00DA5326" w:rsidRDefault="00DA5326" w:rsidP="0088557B">
      <w:pPr>
        <w:ind w:left="2160" w:firstLine="720"/>
      </w:pPr>
    </w:p>
    <w:p w14:paraId="309F7726" w14:textId="77777777" w:rsidR="00B96054" w:rsidRDefault="00B96054" w:rsidP="0088557B">
      <w:pPr>
        <w:ind w:left="2160" w:firstLine="720"/>
      </w:pPr>
    </w:p>
    <w:p w14:paraId="70AABA21" w14:textId="77777777" w:rsidR="00B96054" w:rsidRDefault="00B96054" w:rsidP="0088557B">
      <w:pPr>
        <w:ind w:left="2160" w:firstLine="720"/>
      </w:pPr>
    </w:p>
    <w:p w14:paraId="60B36F36" w14:textId="77777777" w:rsidR="00B96054" w:rsidRDefault="00B96054" w:rsidP="0088557B">
      <w:pPr>
        <w:ind w:left="2160" w:firstLine="720"/>
      </w:pPr>
    </w:p>
    <w:p w14:paraId="1F114DD2" w14:textId="3AC34497" w:rsidR="00DA5326" w:rsidRDefault="00DA5326" w:rsidP="00EF2673">
      <w:r>
        <w:tab/>
      </w:r>
      <w:r>
        <w:tab/>
      </w:r>
    </w:p>
    <w:p w14:paraId="509FD4E7" w14:textId="0751A16E" w:rsidR="00DA5326" w:rsidRDefault="00303464" w:rsidP="00DA5326">
      <w:pPr>
        <w:pStyle w:val="Heading1"/>
      </w:pPr>
      <w:bookmarkStart w:id="0" w:name="_Toc93493873"/>
      <w:bookmarkStart w:id="1" w:name="_Hlk143594114"/>
      <w:r>
        <w:lastRenderedPageBreak/>
        <w:t xml:space="preserve">1: </w:t>
      </w:r>
      <w:bookmarkEnd w:id="0"/>
      <w:r w:rsidR="00A52BD9">
        <w:t xml:space="preserve">Overview: Purpose </w:t>
      </w:r>
      <w:r w:rsidR="00715D31">
        <w:t>of this document</w:t>
      </w:r>
    </w:p>
    <w:bookmarkEnd w:id="1"/>
    <w:p w14:paraId="24E9829F" w14:textId="3BE5E114" w:rsidR="004E6409" w:rsidRDefault="003630BD" w:rsidP="004E6409">
      <w:r>
        <w:t>T</w:t>
      </w:r>
      <w:r w:rsidR="004E6409">
        <w:t xml:space="preserve">his appendix contains additional </w:t>
      </w:r>
      <w:r w:rsidR="70676CCA">
        <w:t>un</w:t>
      </w:r>
      <w:r w:rsidR="00D04718">
        <w:t xml:space="preserve">structured IPD </w:t>
      </w:r>
      <w:r w:rsidR="004E6409">
        <w:t xml:space="preserve">anonymisation examples, continuing from the Anonymisation Strategy 1 example provided on page </w:t>
      </w:r>
      <w:r w:rsidR="00AC611E">
        <w:t xml:space="preserve">25 </w:t>
      </w:r>
      <w:r w:rsidR="004E6409">
        <w:t>of the Data Recipients section.</w:t>
      </w:r>
    </w:p>
    <w:p w14:paraId="079F8D1C" w14:textId="5619BC77" w:rsidR="003630BD" w:rsidRPr="00190C19" w:rsidRDefault="003630BD" w:rsidP="04890AF3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4890AF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2: </w:t>
      </w:r>
      <w:r w:rsidR="00247CF6" w:rsidRPr="04890AF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Anonymisation Strate</w:t>
      </w:r>
      <w:r w:rsidR="004677F2" w:rsidRPr="04890AF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gies</w:t>
      </w:r>
      <w:r>
        <w:br/>
      </w:r>
    </w:p>
    <w:p w14:paraId="2D44DE16" w14:textId="6E7FA1F0" w:rsidR="004E6409" w:rsidRPr="004E6409" w:rsidRDefault="004E6409" w:rsidP="004E6409">
      <w:pPr>
        <w:rPr>
          <w:b/>
          <w:bCs/>
        </w:rPr>
      </w:pPr>
      <w:r w:rsidRPr="004E6409">
        <w:rPr>
          <w:b/>
          <w:bCs/>
        </w:rPr>
        <w:t>Example: Redaction, Generalisation, Retention</w:t>
      </w:r>
    </w:p>
    <w:p w14:paraId="35398190" w14:textId="4D3B26DF" w:rsidR="004E6409" w:rsidRDefault="004E6409" w:rsidP="004E6409">
      <w:pPr>
        <w:jc w:val="center"/>
      </w:pPr>
      <w:r>
        <w:rPr>
          <w:noProof/>
        </w:rPr>
        <w:drawing>
          <wp:inline distT="0" distB="0" distL="0" distR="0" wp14:anchorId="2A173AAD" wp14:editId="542233F9">
            <wp:extent cx="4572000" cy="1225550"/>
            <wp:effectExtent l="0" t="0" r="0" b="0"/>
            <wp:docPr id="938346128" name="Picture 938346128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346128" name="Picture 938346128" descr="Diagram&#10;&#10;Description automatically generated with medium confidence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083"/>
                    <a:stretch/>
                  </pic:blipFill>
                  <pic:spPr bwMode="auto">
                    <a:xfrm>
                      <a:off x="0" y="0"/>
                      <a:ext cx="4572000" cy="1225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2C4574" w14:textId="7AF9525B" w:rsidR="004E6409" w:rsidRDefault="004E6409" w:rsidP="004E6409">
      <w:r>
        <w:t xml:space="preserve">Figure 1. This example uses four different anonymisation techniques. The subject ID has been redacted, the age has been </w:t>
      </w:r>
      <w:proofErr w:type="spellStart"/>
      <w:r>
        <w:t>generalised</w:t>
      </w:r>
      <w:proofErr w:type="spellEnd"/>
      <w:r>
        <w:t xml:space="preserve">, the race and gender has been retained. </w:t>
      </w:r>
      <w:r w:rsidR="003D33AE">
        <w:t>This strategy has retained most of the data utility.</w:t>
      </w:r>
    </w:p>
    <w:p w14:paraId="1E441BB2" w14:textId="6B92A7BD" w:rsidR="004E6409" w:rsidRPr="004E6409" w:rsidRDefault="004E6409" w:rsidP="04890AF3">
      <w:pPr>
        <w:rPr>
          <w:b/>
          <w:bCs/>
        </w:rPr>
      </w:pPr>
      <w:r w:rsidRPr="04890AF3">
        <w:rPr>
          <w:b/>
          <w:bCs/>
        </w:rPr>
        <w:t>Example: Redaction, Retention</w:t>
      </w:r>
    </w:p>
    <w:p w14:paraId="35E73E47" w14:textId="5FC7C9F5" w:rsidR="004E6409" w:rsidRDefault="004E6409" w:rsidP="004E6409">
      <w:pPr>
        <w:jc w:val="center"/>
      </w:pPr>
      <w:r>
        <w:rPr>
          <w:noProof/>
        </w:rPr>
        <w:drawing>
          <wp:inline distT="0" distB="0" distL="0" distR="0" wp14:anchorId="0E9BA428" wp14:editId="366DA341">
            <wp:extent cx="3987800" cy="1054735"/>
            <wp:effectExtent l="0" t="0" r="0" b="0"/>
            <wp:docPr id="5" name="Picture 5" descr="A picture containing text, font, line,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font, line, diagram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91" t="9527" r="6372" b="9653"/>
                    <a:stretch/>
                  </pic:blipFill>
                  <pic:spPr bwMode="auto">
                    <a:xfrm>
                      <a:off x="0" y="0"/>
                      <a:ext cx="3987800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734EA1" w14:textId="1D42EBF0" w:rsidR="004E6409" w:rsidRDefault="004E6409" w:rsidP="004E6409">
      <w:r>
        <w:t xml:space="preserve">Figure 2. In this example, the subject ID and race has been redacted. The rest of the identifiers have been retained. </w:t>
      </w:r>
      <w:r w:rsidR="003D33AE">
        <w:t>This strategy has retained some data utility.</w:t>
      </w:r>
    </w:p>
    <w:p w14:paraId="1DB3F164" w14:textId="77777777" w:rsidR="00AC611E" w:rsidRDefault="006F6031" w:rsidP="04890AF3">
      <w:r>
        <w:br/>
      </w:r>
    </w:p>
    <w:p w14:paraId="126C3EB6" w14:textId="77777777" w:rsidR="00AC611E" w:rsidRDefault="00AC611E" w:rsidP="04890AF3"/>
    <w:p w14:paraId="2255C814" w14:textId="58B181AE" w:rsidR="004E6409" w:rsidRPr="006F6031" w:rsidRDefault="006F6031" w:rsidP="04890AF3">
      <w:pPr>
        <w:rPr>
          <w:b/>
          <w:bCs/>
        </w:rPr>
      </w:pPr>
      <w:r>
        <w:br/>
      </w:r>
      <w:r w:rsidR="004E6409" w:rsidRPr="04890AF3">
        <w:rPr>
          <w:b/>
          <w:bCs/>
        </w:rPr>
        <w:lastRenderedPageBreak/>
        <w:t xml:space="preserve">Example: Redaction  </w:t>
      </w:r>
    </w:p>
    <w:p w14:paraId="4FE96382" w14:textId="3478C7DA" w:rsidR="004E6409" w:rsidRDefault="004E6409" w:rsidP="004E6409">
      <w:pPr>
        <w:jc w:val="center"/>
      </w:pPr>
      <w:r>
        <w:rPr>
          <w:noProof/>
        </w:rPr>
        <w:drawing>
          <wp:inline distT="0" distB="0" distL="0" distR="0" wp14:anchorId="1897C7B8" wp14:editId="60066FBB">
            <wp:extent cx="3986530" cy="1047750"/>
            <wp:effectExtent l="0" t="0" r="0" b="0"/>
            <wp:docPr id="1" name="Picture 1" descr="A picture containing text, screenshot, font,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lin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91" t="9942" r="6265" b="9651"/>
                    <a:stretch/>
                  </pic:blipFill>
                  <pic:spPr bwMode="auto">
                    <a:xfrm>
                      <a:off x="0" y="0"/>
                      <a:ext cx="398653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811458" w14:textId="2D949ED5" w:rsidR="04890AF3" w:rsidRDefault="65FA1A77" w:rsidP="04890AF3">
      <w:r w:rsidRPr="04890AF3">
        <w:rPr>
          <w:rFonts w:ascii="Calibri" w:eastAsia="Calibri" w:hAnsi="Calibri" w:cs="Calibri"/>
          <w:lang w:val="en-CA"/>
        </w:rPr>
        <w:t xml:space="preserve">Figure 3. In this example, a targeted redaction strategy has been utilised to continue protecting patient privacy in the instance generalisation, retention and </w:t>
      </w:r>
      <w:proofErr w:type="spellStart"/>
      <w:r w:rsidRPr="04890AF3">
        <w:rPr>
          <w:rFonts w:ascii="Calibri" w:eastAsia="Calibri" w:hAnsi="Calibri" w:cs="Calibri"/>
          <w:lang w:val="en-CA"/>
        </w:rPr>
        <w:t>psuedonymisation</w:t>
      </w:r>
      <w:proofErr w:type="spellEnd"/>
      <w:r w:rsidRPr="04890AF3">
        <w:rPr>
          <w:rFonts w:ascii="Calibri" w:eastAsia="Calibri" w:hAnsi="Calibri" w:cs="Calibri"/>
          <w:lang w:val="en-CA"/>
        </w:rPr>
        <w:t xml:space="preserve"> cannot be used. This strategy has retained minimal data utility. Regulators prefer redactions to be targeted to only cover identifiers and will require the Data Controller to fill a deviation if blanket redactions that cover large portions of the text are used. Blanket redactions should only be considered as a last resort in extreme cases where low risk is not possible otherwise and this decision needs to be robustly justified in the anonymisation report.</w:t>
      </w:r>
    </w:p>
    <w:p w14:paraId="182BD2BE" w14:textId="6D4EA37B" w:rsidR="00DA5326" w:rsidRDefault="00467F52" w:rsidP="00190C19">
      <w:pPr>
        <w:pStyle w:val="Heading1"/>
      </w:pPr>
      <w:bookmarkStart w:id="2" w:name="_Toc93493880"/>
      <w:r>
        <w:t>8</w:t>
      </w:r>
      <w:r w:rsidR="00303464">
        <w:t xml:space="preserve">: </w:t>
      </w:r>
      <w:r w:rsidR="00DA5326">
        <w:t>Disclaimer:</w:t>
      </w:r>
      <w:bookmarkEnd w:id="2"/>
    </w:p>
    <w:p w14:paraId="179AD73D" w14:textId="5973C8D3" w:rsidR="00156C1A" w:rsidRPr="00122F0F" w:rsidRDefault="00122F0F" w:rsidP="00122F0F">
      <w:r w:rsidRPr="00122F0F">
        <w:t>The opinions expressed in this document are those of the authors and should not be construed to represent the opinions of PHUSE</w:t>
      </w:r>
      <w:r>
        <w:t xml:space="preserve"> </w:t>
      </w:r>
      <w:r w:rsidRPr="00122F0F">
        <w:t>members; respective companies/organizations or Regulator’s views</w:t>
      </w:r>
      <w:r>
        <w:t xml:space="preserve"> </w:t>
      </w:r>
      <w:r w:rsidRPr="00122F0F">
        <w:t>or policies. The content in this document should not be interpreted</w:t>
      </w:r>
      <w:r>
        <w:t xml:space="preserve"> </w:t>
      </w:r>
      <w:r w:rsidRPr="00122F0F">
        <w:t>as a data standard and/or information required by Regulatory</w:t>
      </w:r>
      <w:r>
        <w:t xml:space="preserve"> </w:t>
      </w:r>
      <w:r w:rsidRPr="00122F0F">
        <w:t>Authorities.</w:t>
      </w:r>
    </w:p>
    <w:p w14:paraId="6B39F56D" w14:textId="2FFCB68B" w:rsidR="00DA5326" w:rsidRDefault="00467F52" w:rsidP="00DA5326">
      <w:pPr>
        <w:pStyle w:val="Heading1"/>
      </w:pPr>
      <w:bookmarkStart w:id="3" w:name="_Toc93493882"/>
      <w:r>
        <w:t>10</w:t>
      </w:r>
      <w:r w:rsidR="00303464">
        <w:t xml:space="preserve">: </w:t>
      </w:r>
      <w:r w:rsidR="00DA5326">
        <w:t>Project Contact Information:</w:t>
      </w:r>
      <w:bookmarkEnd w:id="3"/>
    </w:p>
    <w:p w14:paraId="62729939" w14:textId="77777777" w:rsidR="00213A20" w:rsidRDefault="00213A20" w:rsidP="00213A20">
      <w:pPr>
        <w:pStyle w:val="ListParagraph"/>
        <w:numPr>
          <w:ilvl w:val="0"/>
          <w:numId w:val="1"/>
        </w:numPr>
      </w:pPr>
      <w:r>
        <w:t>Lauren Hepburn</w:t>
      </w:r>
    </w:p>
    <w:p w14:paraId="616CFFC3" w14:textId="639EE8E0" w:rsidR="00213A20" w:rsidRDefault="00213A20" w:rsidP="00213A20">
      <w:pPr>
        <w:pStyle w:val="ListParagraph"/>
        <w:numPr>
          <w:ilvl w:val="0"/>
          <w:numId w:val="1"/>
        </w:numPr>
      </w:pPr>
      <w:r>
        <w:t>Abby McDone</w:t>
      </w:r>
      <w:r w:rsidR="00E432B0">
        <w:t>l</w:t>
      </w:r>
      <w:r>
        <w:t>l</w:t>
      </w:r>
    </w:p>
    <w:p w14:paraId="2D9CD6CC" w14:textId="77777777" w:rsidR="00213A20" w:rsidRDefault="00213A20" w:rsidP="00213A20">
      <w:pPr>
        <w:pStyle w:val="ListParagraph"/>
        <w:numPr>
          <w:ilvl w:val="0"/>
          <w:numId w:val="1"/>
        </w:numPr>
      </w:pPr>
      <w:r>
        <w:t>Devaki Thavarajah</w:t>
      </w:r>
    </w:p>
    <w:p w14:paraId="0037CB97" w14:textId="574B82EE" w:rsidR="00B96054" w:rsidRDefault="63572F78" w:rsidP="00B96054">
      <w:pPr>
        <w:pStyle w:val="ListParagraph"/>
        <w:numPr>
          <w:ilvl w:val="0"/>
          <w:numId w:val="1"/>
        </w:numPr>
      </w:pPr>
      <w:r>
        <w:t>Mahesh Swaminathan</w:t>
      </w:r>
    </w:p>
    <w:p w14:paraId="0CFB79DE" w14:textId="0464AA47" w:rsidR="00B96054" w:rsidRDefault="00DA0B32" w:rsidP="00B96054">
      <w:pPr>
        <w:pStyle w:val="ListParagraph"/>
        <w:numPr>
          <w:ilvl w:val="0"/>
          <w:numId w:val="1"/>
        </w:numPr>
      </w:pPr>
      <w:r>
        <w:t xml:space="preserve">Use Email: </w:t>
      </w:r>
      <w:hyperlink r:id="rId14" w:history="1">
        <w:r w:rsidR="00EC36EC" w:rsidRPr="00F2764C">
          <w:rPr>
            <w:rStyle w:val="Hyperlink"/>
          </w:rPr>
          <w:t>workinggroups@phuse.global</w:t>
        </w:r>
      </w:hyperlink>
      <w:r w:rsidR="00EC36EC">
        <w:t xml:space="preserve"> </w:t>
      </w:r>
      <w:r w:rsidR="00881C52">
        <w:t xml:space="preserve"> </w:t>
      </w:r>
    </w:p>
    <w:p w14:paraId="267EF5F8" w14:textId="7B8643DD" w:rsidR="00B96054" w:rsidRPr="00B96054" w:rsidRDefault="00303464" w:rsidP="00B96054">
      <w:pPr>
        <w:pStyle w:val="Heading1"/>
      </w:pPr>
      <w:bookmarkStart w:id="4" w:name="_Toc93493883"/>
      <w:r>
        <w:t>1</w:t>
      </w:r>
      <w:r w:rsidR="00467F52">
        <w:t>1</w:t>
      </w:r>
      <w:r>
        <w:t xml:space="preserve">: </w:t>
      </w:r>
      <w:r w:rsidR="00B96054" w:rsidRPr="00B96054">
        <w:t>Acknowledgments:</w:t>
      </w:r>
      <w:bookmarkEnd w:id="4"/>
    </w:p>
    <w:p w14:paraId="7BB35140" w14:textId="2A84BF6D" w:rsidR="00B96054" w:rsidRPr="00B96054" w:rsidRDefault="24B24A47" w:rsidP="00B96054">
      <w:r>
        <w:t>Mekhala Acharya</w:t>
      </w:r>
      <w:r w:rsidR="74815A7A">
        <w:t xml:space="preserve">, </w:t>
      </w:r>
      <w:proofErr w:type="spellStart"/>
      <w:r>
        <w:t>Asmita</w:t>
      </w:r>
      <w:proofErr w:type="spellEnd"/>
      <w:r>
        <w:t xml:space="preserve"> Anil</w:t>
      </w:r>
      <w:r w:rsidR="7AE7F0DE">
        <w:t xml:space="preserve">, </w:t>
      </w:r>
      <w:r>
        <w:t xml:space="preserve">Sanjay </w:t>
      </w:r>
      <w:proofErr w:type="spellStart"/>
      <w:r>
        <w:t>Bagani</w:t>
      </w:r>
      <w:proofErr w:type="spellEnd"/>
      <w:r w:rsidR="3D876E5F">
        <w:t xml:space="preserve">, </w:t>
      </w:r>
      <w:r>
        <w:t xml:space="preserve">Sarah </w:t>
      </w:r>
      <w:proofErr w:type="spellStart"/>
      <w:r>
        <w:t>Balay</w:t>
      </w:r>
      <w:proofErr w:type="spellEnd"/>
      <w:r w:rsidR="6AFA2720">
        <w:t xml:space="preserve">, </w:t>
      </w:r>
      <w:r>
        <w:t>Cara Campora</w:t>
      </w:r>
      <w:r w:rsidR="4EF3F143">
        <w:t xml:space="preserve">, </w:t>
      </w:r>
      <w:r>
        <w:t>Holly Curry</w:t>
      </w:r>
      <w:r w:rsidR="0C356242">
        <w:t xml:space="preserve">, </w:t>
      </w:r>
      <w:r>
        <w:t xml:space="preserve">Dhiraj </w:t>
      </w:r>
      <w:proofErr w:type="spellStart"/>
      <w:r>
        <w:t>Ravjibhai</w:t>
      </w:r>
      <w:proofErr w:type="spellEnd"/>
      <w:r>
        <w:t xml:space="preserve"> </w:t>
      </w:r>
      <w:proofErr w:type="spellStart"/>
      <w:r>
        <w:t>Dabhi</w:t>
      </w:r>
      <w:proofErr w:type="spellEnd"/>
      <w:r w:rsidR="2CF6C437">
        <w:t xml:space="preserve">, </w:t>
      </w:r>
      <w:r>
        <w:t>Shalini Dwivedi</w:t>
      </w:r>
      <w:r w:rsidR="20256E68">
        <w:t xml:space="preserve">, </w:t>
      </w:r>
      <w:r>
        <w:t xml:space="preserve">Rama </w:t>
      </w:r>
      <w:proofErr w:type="spellStart"/>
      <w:r>
        <w:t>Empati</w:t>
      </w:r>
      <w:proofErr w:type="spellEnd"/>
      <w:r w:rsidR="6142D363">
        <w:t xml:space="preserve">, </w:t>
      </w:r>
      <w:r>
        <w:t>Swagata Ghosh</w:t>
      </w:r>
      <w:r w:rsidR="6E402D78">
        <w:t xml:space="preserve">, </w:t>
      </w:r>
      <w:proofErr w:type="spellStart"/>
      <w:r>
        <w:t>Manohara</w:t>
      </w:r>
      <w:proofErr w:type="spellEnd"/>
      <w:r>
        <w:t xml:space="preserve"> </w:t>
      </w:r>
      <w:proofErr w:type="spellStart"/>
      <w:r>
        <w:t>Basoor</w:t>
      </w:r>
      <w:proofErr w:type="spellEnd"/>
      <w:r>
        <w:t xml:space="preserve"> </w:t>
      </w:r>
      <w:proofErr w:type="spellStart"/>
      <w:r>
        <w:t>Halasiddappa</w:t>
      </w:r>
      <w:proofErr w:type="spellEnd"/>
      <w:r w:rsidR="47DA5AE3">
        <w:t xml:space="preserve">, </w:t>
      </w:r>
      <w:proofErr w:type="spellStart"/>
      <w:r>
        <w:t>Anitha</w:t>
      </w:r>
      <w:proofErr w:type="spellEnd"/>
      <w:r>
        <w:t xml:space="preserve"> Isaiah</w:t>
      </w:r>
      <w:r w:rsidR="147B3C5A">
        <w:t xml:space="preserve">, </w:t>
      </w:r>
      <w:r>
        <w:t>Thomas Kalfas</w:t>
      </w:r>
      <w:r w:rsidR="226ADD54">
        <w:t xml:space="preserve">, </w:t>
      </w:r>
      <w:r>
        <w:t>Shirisha Kanthala</w:t>
      </w:r>
      <w:r w:rsidR="728B51D9">
        <w:t xml:space="preserve">, </w:t>
      </w:r>
      <w:r>
        <w:t>Michael McTaggart</w:t>
      </w:r>
      <w:r w:rsidR="70E20376">
        <w:t xml:space="preserve">, </w:t>
      </w:r>
      <w:r>
        <w:t>Muhammad Oneeb Rehman Mian</w:t>
      </w:r>
      <w:r w:rsidR="595890EB">
        <w:t xml:space="preserve">, </w:t>
      </w:r>
      <w:r>
        <w:t xml:space="preserve">Sharon Conder </w:t>
      </w:r>
      <w:r>
        <w:lastRenderedPageBreak/>
        <w:t>Niedecken</w:t>
      </w:r>
      <w:r w:rsidR="3456DFEA">
        <w:t xml:space="preserve">, </w:t>
      </w:r>
      <w:r>
        <w:t>Pooja Phogat</w:t>
      </w:r>
      <w:r w:rsidR="498F9189">
        <w:t xml:space="preserve">, </w:t>
      </w:r>
      <w:r>
        <w:t>Viveka Rydell-Anderson</w:t>
      </w:r>
      <w:r w:rsidR="3C0E5FEA">
        <w:t xml:space="preserve">, </w:t>
      </w:r>
      <w:r>
        <w:t>Taniya Rade</w:t>
      </w:r>
      <w:r w:rsidR="456C01BE">
        <w:t xml:space="preserve">, </w:t>
      </w:r>
      <w:r>
        <w:t>Mithun Kumar Ranga</w:t>
      </w:r>
      <w:r w:rsidR="617FC7D9">
        <w:t xml:space="preserve">, </w:t>
      </w:r>
      <w:r>
        <w:t>Benjamin C. Shim</w:t>
      </w:r>
      <w:r w:rsidR="2B5CAF29">
        <w:t xml:space="preserve">, </w:t>
      </w:r>
      <w:r>
        <w:t>Shweta Srivastava</w:t>
      </w:r>
      <w:r w:rsidR="1C865CC5">
        <w:t xml:space="preserve">, </w:t>
      </w:r>
      <w:r>
        <w:t xml:space="preserve">Abhinav </w:t>
      </w:r>
      <w:proofErr w:type="spellStart"/>
      <w:r>
        <w:t>Srivastva</w:t>
      </w:r>
      <w:proofErr w:type="spellEnd"/>
      <w:r w:rsidR="528846DA">
        <w:t xml:space="preserve">, </w:t>
      </w:r>
      <w:r>
        <w:t>Tamsin Sargood</w:t>
      </w:r>
      <w:r w:rsidR="08CA2DD2">
        <w:t xml:space="preserve">, </w:t>
      </w:r>
      <w:r>
        <w:t>Brenda Tiffin</w:t>
      </w:r>
      <w:r w:rsidR="007ECA62">
        <w:t xml:space="preserve">, </w:t>
      </w:r>
      <w:proofErr w:type="spellStart"/>
      <w:r>
        <w:t>Simin</w:t>
      </w:r>
      <w:proofErr w:type="spellEnd"/>
      <w:r>
        <w:t xml:space="preserve"> </w:t>
      </w:r>
      <w:proofErr w:type="spellStart"/>
      <w:r>
        <w:t>Takidar</w:t>
      </w:r>
      <w:proofErr w:type="spellEnd"/>
      <w:r w:rsidR="01BD4FED">
        <w:t xml:space="preserve">, </w:t>
      </w:r>
      <w:r>
        <w:t>Thomas Wicks</w:t>
      </w:r>
      <w:r w:rsidR="350E32D1">
        <w:t xml:space="preserve">, </w:t>
      </w:r>
      <w:r>
        <w:t>Sophia Zilber</w:t>
      </w:r>
      <w:r w:rsidR="54C6C7DF">
        <w:t>.</w:t>
      </w:r>
    </w:p>
    <w:p w14:paraId="2C36EDAE" w14:textId="5AD759C6" w:rsidR="00B96054" w:rsidRPr="00B96054" w:rsidRDefault="54C6C7DF" w:rsidP="04890AF3">
      <w:r w:rsidRPr="04890AF3">
        <w:rPr>
          <w:rFonts w:ascii="Calibri" w:eastAsia="Calibri" w:hAnsi="Calibri" w:cs="Calibri"/>
        </w:rPr>
        <w:t xml:space="preserve">The Working Group would like to thank representatives from both Health Canada and the European Medicines Agency for their </w:t>
      </w:r>
      <w:r w:rsidR="44ED0F13" w:rsidRPr="78E6A097">
        <w:rPr>
          <w:rFonts w:ascii="Calibri" w:eastAsia="Calibri" w:hAnsi="Calibri" w:cs="Calibri"/>
        </w:rPr>
        <w:t>support as observer</w:t>
      </w:r>
      <w:r w:rsidR="27DFC107" w:rsidRPr="78E6A097">
        <w:rPr>
          <w:rFonts w:ascii="Calibri" w:eastAsia="Calibri" w:hAnsi="Calibri" w:cs="Calibri"/>
        </w:rPr>
        <w:t>s</w:t>
      </w:r>
      <w:r w:rsidRPr="04890AF3">
        <w:rPr>
          <w:rFonts w:ascii="Calibri" w:eastAsia="Calibri" w:hAnsi="Calibri" w:cs="Calibri"/>
        </w:rPr>
        <w:t xml:space="preserve"> in the creation of the Good Transparency Practice White Paper.</w:t>
      </w:r>
    </w:p>
    <w:p w14:paraId="513472E4" w14:textId="5312ED8E" w:rsidR="00B96054" w:rsidRPr="00B96054" w:rsidRDefault="00B96054" w:rsidP="04890AF3"/>
    <w:p w14:paraId="4EFAF7A6" w14:textId="64F3892D" w:rsidR="00B96054" w:rsidRPr="00B96054" w:rsidRDefault="00B96054" w:rsidP="04890AF3"/>
    <w:p w14:paraId="2989402C" w14:textId="77777777" w:rsidR="00DA5326" w:rsidRDefault="00DA5326" w:rsidP="00DA5326"/>
    <w:p w14:paraId="116FAF47" w14:textId="77777777" w:rsidR="00DA5326" w:rsidRPr="00DA5326" w:rsidRDefault="00DA5326" w:rsidP="00DA5326"/>
    <w:p w14:paraId="04A401BA" w14:textId="77777777" w:rsidR="00DA5326" w:rsidRDefault="00DA5326" w:rsidP="0088557B">
      <w:pPr>
        <w:ind w:left="2160" w:firstLine="720"/>
      </w:pPr>
    </w:p>
    <w:sectPr w:rsidR="00DA5326" w:rsidSect="0092616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EDC31" w14:textId="77777777" w:rsidR="00926162" w:rsidRDefault="00926162" w:rsidP="0088557B">
      <w:pPr>
        <w:spacing w:after="0" w:line="240" w:lineRule="auto"/>
      </w:pPr>
      <w:r>
        <w:separator/>
      </w:r>
    </w:p>
  </w:endnote>
  <w:endnote w:type="continuationSeparator" w:id="0">
    <w:p w14:paraId="103A624C" w14:textId="77777777" w:rsidR="00926162" w:rsidRDefault="00926162" w:rsidP="0088557B">
      <w:pPr>
        <w:spacing w:after="0" w:line="240" w:lineRule="auto"/>
      </w:pPr>
      <w:r>
        <w:continuationSeparator/>
      </w:r>
    </w:p>
  </w:endnote>
  <w:endnote w:type="continuationNotice" w:id="1">
    <w:p w14:paraId="00176061" w14:textId="77777777" w:rsidR="00926162" w:rsidRDefault="009261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98852" w14:textId="77777777" w:rsidR="00190C19" w:rsidRDefault="00190C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41899"/>
      <w:docPartObj>
        <w:docPartGallery w:val="Page Numbers (Bottom of Page)"/>
        <w:docPartUnique/>
      </w:docPartObj>
    </w:sdtPr>
    <w:sdtContent>
      <w:p w14:paraId="020D8A9B" w14:textId="77777777" w:rsidR="0088557B" w:rsidRDefault="0088557B">
        <w:pPr>
          <w:pStyle w:val="Footer"/>
          <w:jc w:val="right"/>
        </w:pPr>
      </w:p>
      <w:p w14:paraId="5C8AFCC0" w14:textId="77777777" w:rsidR="0088557B" w:rsidRDefault="000F1B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60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0F448B" w14:textId="59A0FED0" w:rsidR="0088557B" w:rsidRDefault="004E6409" w:rsidP="0088557B">
    <w:pPr>
      <w:spacing w:after="0" w:line="245" w:lineRule="exact"/>
      <w:ind w:left="20" w:right="-53"/>
      <w:rPr>
        <w:rFonts w:ascii="Calibri" w:eastAsia="Calibri" w:hAnsi="Calibri" w:cs="Calibri"/>
      </w:rPr>
    </w:pPr>
    <w:r>
      <w:rPr>
        <w:rFonts w:ascii="Times New Roman" w:eastAsia="Times New Roman" w:hAnsi="Times New Roman" w:cs="Times New Roman"/>
        <w:spacing w:val="-7"/>
        <w:position w:val="1"/>
      </w:rPr>
      <w:t>Good Transparency Practice</w:t>
    </w:r>
  </w:p>
  <w:p w14:paraId="73C55D76" w14:textId="77777777" w:rsidR="0088557B" w:rsidRDefault="008855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253AA" w14:textId="77777777" w:rsidR="00190C19" w:rsidRDefault="00190C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ECAC3" w14:textId="77777777" w:rsidR="00926162" w:rsidRDefault="00926162" w:rsidP="0088557B">
      <w:pPr>
        <w:spacing w:after="0" w:line="240" w:lineRule="auto"/>
      </w:pPr>
      <w:r>
        <w:separator/>
      </w:r>
    </w:p>
  </w:footnote>
  <w:footnote w:type="continuationSeparator" w:id="0">
    <w:p w14:paraId="1D2324E0" w14:textId="77777777" w:rsidR="00926162" w:rsidRDefault="00926162" w:rsidP="0088557B">
      <w:pPr>
        <w:spacing w:after="0" w:line="240" w:lineRule="auto"/>
      </w:pPr>
      <w:r>
        <w:continuationSeparator/>
      </w:r>
    </w:p>
  </w:footnote>
  <w:footnote w:type="continuationNotice" w:id="1">
    <w:p w14:paraId="0B08294A" w14:textId="77777777" w:rsidR="00926162" w:rsidRDefault="009261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AECD7" w14:textId="77777777" w:rsidR="00190C19" w:rsidRDefault="00190C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64" w:type="dxa"/>
      <w:tblInd w:w="58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541"/>
      <w:gridCol w:w="5799"/>
      <w:gridCol w:w="2124"/>
    </w:tblGrid>
    <w:tr w:rsidR="0088557B" w14:paraId="76B6C8A1" w14:textId="77777777" w:rsidTr="00A16FE0">
      <w:trPr>
        <w:trHeight w:hRule="exact" w:val="1286"/>
      </w:trPr>
      <w:tc>
        <w:tcPr>
          <w:tcW w:w="1541" w:type="dxa"/>
        </w:tcPr>
        <w:p w14:paraId="4EDAD78D" w14:textId="34A04455" w:rsidR="0088557B" w:rsidRDefault="00A16FE0" w:rsidP="0041543F">
          <w:pPr>
            <w:spacing w:before="71" w:after="0" w:line="240" w:lineRule="auto"/>
            <w:ind w:left="102" w:right="-20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036A3631" wp14:editId="39903648">
                <wp:extent cx="837282" cy="69405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#20681 PHUSE Logo June 2019 RGB FINAL (2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3913" cy="6995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99" w:type="dxa"/>
        </w:tcPr>
        <w:p w14:paraId="3C8C1C82" w14:textId="3AED5E42" w:rsidR="0088557B" w:rsidRDefault="00CF5373" w:rsidP="0041543F">
          <w:pPr>
            <w:tabs>
              <w:tab w:val="left" w:pos="1520"/>
            </w:tabs>
            <w:spacing w:after="0" w:line="264" w:lineRule="exact"/>
            <w:ind w:left="100" w:right="-20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spacing w:val="1"/>
              <w:position w:val="1"/>
            </w:rPr>
            <w:t>DOC.ID</w:t>
          </w:r>
          <w:r w:rsidR="0088557B">
            <w:rPr>
              <w:rFonts w:ascii="Calibri" w:eastAsia="Calibri" w:hAnsi="Calibri" w:cs="Calibri"/>
              <w:position w:val="1"/>
            </w:rPr>
            <w:t>:</w:t>
          </w:r>
          <w:r w:rsidR="0088557B">
            <w:rPr>
              <w:rFonts w:ascii="Times New Roman" w:eastAsia="Times New Roman" w:hAnsi="Times New Roman" w:cs="Times New Roman"/>
              <w:position w:val="1"/>
            </w:rPr>
            <w:tab/>
          </w:r>
          <w:r w:rsidR="00190C19">
            <w:rPr>
              <w:rFonts w:ascii="Times New Roman" w:eastAsia="Times New Roman" w:hAnsi="Times New Roman" w:cs="Times New Roman"/>
              <w:i/>
              <w:position w:val="1"/>
            </w:rPr>
            <w:t>WP-082</w:t>
          </w:r>
        </w:p>
        <w:p w14:paraId="662E6A5C" w14:textId="44C570DF" w:rsidR="0088557B" w:rsidRDefault="00CF5373" w:rsidP="0041543F">
          <w:pPr>
            <w:tabs>
              <w:tab w:val="left" w:pos="1520"/>
            </w:tabs>
            <w:spacing w:after="0" w:line="264" w:lineRule="exact"/>
            <w:ind w:left="100" w:right="-20"/>
            <w:rPr>
              <w:rFonts w:ascii="Times New Roman" w:eastAsia="Times New Roman" w:hAnsi="Times New Roman" w:cs="Times New Roman"/>
              <w:i/>
              <w:position w:val="1"/>
            </w:rPr>
          </w:pPr>
          <w:r>
            <w:rPr>
              <w:rFonts w:ascii="Calibri" w:eastAsia="Calibri" w:hAnsi="Calibri" w:cs="Calibri"/>
              <w:spacing w:val="1"/>
            </w:rPr>
            <w:t>Version</w:t>
          </w:r>
          <w:r w:rsidR="0088557B">
            <w:rPr>
              <w:rFonts w:ascii="Calibri" w:eastAsia="Calibri" w:hAnsi="Calibri" w:cs="Calibri"/>
            </w:rPr>
            <w:t>:</w:t>
          </w:r>
          <w:r w:rsidR="0088557B">
            <w:rPr>
              <w:rFonts w:ascii="Times New Roman" w:eastAsia="Times New Roman" w:hAnsi="Times New Roman" w:cs="Times New Roman"/>
            </w:rPr>
            <w:tab/>
          </w:r>
          <w:r w:rsidR="00190C19">
            <w:rPr>
              <w:rFonts w:ascii="Times New Roman" w:eastAsia="Times New Roman" w:hAnsi="Times New Roman" w:cs="Times New Roman"/>
              <w:i/>
              <w:position w:val="1"/>
            </w:rPr>
            <w:t>1</w:t>
          </w:r>
        </w:p>
        <w:p w14:paraId="7E9BB203" w14:textId="6C4BDE69" w:rsidR="00681863" w:rsidRDefault="00681863" w:rsidP="0041543F">
          <w:pPr>
            <w:tabs>
              <w:tab w:val="left" w:pos="1520"/>
            </w:tabs>
            <w:spacing w:after="0" w:line="264" w:lineRule="exact"/>
            <w:ind w:left="100" w:right="-20"/>
            <w:rPr>
              <w:rFonts w:eastAsia="Times New Roman" w:cstheme="minorHAnsi"/>
              <w:iCs/>
              <w:position w:val="1"/>
            </w:rPr>
          </w:pPr>
          <w:r w:rsidRPr="00681863">
            <w:rPr>
              <w:rFonts w:eastAsia="Times New Roman" w:cstheme="minorHAnsi"/>
              <w:iCs/>
              <w:position w:val="1"/>
            </w:rPr>
            <w:t xml:space="preserve">Date: </w:t>
          </w:r>
          <w:r w:rsidR="00190C19">
            <w:rPr>
              <w:rFonts w:eastAsia="Times New Roman" w:cstheme="minorHAnsi"/>
              <w:iCs/>
              <w:position w:val="1"/>
            </w:rPr>
            <w:t>21.03.24</w:t>
          </w:r>
        </w:p>
        <w:p w14:paraId="4BB316DC" w14:textId="2A76DFCB" w:rsidR="00190C19" w:rsidRPr="00190C19" w:rsidRDefault="00190C19" w:rsidP="00190C19">
          <w:pPr>
            <w:tabs>
              <w:tab w:val="left" w:pos="1520"/>
            </w:tabs>
            <w:spacing w:after="0" w:line="264" w:lineRule="exact"/>
            <w:ind w:left="100" w:right="-20"/>
            <w:rPr>
              <w:rFonts w:eastAsia="Times New Roman" w:cstheme="minorHAnsi"/>
              <w:iCs/>
              <w:position w:val="1"/>
            </w:rPr>
          </w:pPr>
          <w:r>
            <w:rPr>
              <w:rFonts w:eastAsia="Times New Roman" w:cstheme="minorHAnsi"/>
              <w:iCs/>
              <w:position w:val="1"/>
            </w:rPr>
            <w:t xml:space="preserve">Title: Good Transparency Practices: </w:t>
          </w:r>
          <w:r w:rsidRPr="00190C19">
            <w:rPr>
              <w:rFonts w:eastAsia="Times New Roman" w:cstheme="minorHAnsi"/>
              <w:i/>
              <w:iCs/>
              <w:position w:val="1"/>
            </w:rPr>
            <w:t>Examples of Unstructured IPD Anonymisation</w:t>
          </w:r>
        </w:p>
        <w:p w14:paraId="1DB34209" w14:textId="77777777" w:rsidR="0088557B" w:rsidRDefault="0088557B" w:rsidP="0041543F">
          <w:pPr>
            <w:tabs>
              <w:tab w:val="left" w:pos="1520"/>
            </w:tabs>
            <w:spacing w:after="0" w:line="240" w:lineRule="auto"/>
            <w:ind w:left="100" w:right="-20"/>
            <w:rPr>
              <w:rFonts w:ascii="Calibri" w:eastAsia="Calibri" w:hAnsi="Calibri" w:cs="Calibri"/>
            </w:rPr>
          </w:pPr>
        </w:p>
      </w:tc>
      <w:tc>
        <w:tcPr>
          <w:tcW w:w="2124" w:type="dxa"/>
        </w:tcPr>
        <w:p w14:paraId="00F91B5B" w14:textId="77777777" w:rsidR="0088557B" w:rsidRDefault="0088557B" w:rsidP="0041543F">
          <w:pPr>
            <w:spacing w:before="4" w:after="0" w:line="200" w:lineRule="exact"/>
            <w:rPr>
              <w:sz w:val="20"/>
              <w:szCs w:val="20"/>
            </w:rPr>
          </w:pPr>
        </w:p>
        <w:p w14:paraId="6F9B1B7E" w14:textId="77777777" w:rsidR="0088557B" w:rsidRDefault="0088557B" w:rsidP="0041543F">
          <w:pPr>
            <w:spacing w:after="0" w:line="242" w:lineRule="exact"/>
            <w:ind w:left="97" w:right="73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Calibri" w:eastAsia="Calibri" w:hAnsi="Calibri" w:cs="Calibri"/>
              <w:spacing w:val="1"/>
              <w:sz w:val="20"/>
              <w:szCs w:val="20"/>
            </w:rPr>
            <w:t>Wo</w:t>
          </w:r>
          <w:r>
            <w:rPr>
              <w:rFonts w:ascii="Calibri" w:eastAsia="Calibri" w:hAnsi="Calibri" w:cs="Calibri"/>
              <w:spacing w:val="-1"/>
              <w:sz w:val="20"/>
              <w:szCs w:val="20"/>
            </w:rPr>
            <w:t>r</w:t>
          </w:r>
          <w:r>
            <w:rPr>
              <w:rFonts w:ascii="Calibri" w:eastAsia="Calibri" w:hAnsi="Calibri" w:cs="Calibri"/>
              <w:spacing w:val="1"/>
              <w:sz w:val="20"/>
              <w:szCs w:val="20"/>
            </w:rPr>
            <w:t>k</w:t>
          </w:r>
          <w:r>
            <w:rPr>
              <w:rFonts w:ascii="Calibri" w:eastAsia="Calibri" w:hAnsi="Calibri" w:cs="Calibri"/>
              <w:sz w:val="20"/>
              <w:szCs w:val="20"/>
            </w:rPr>
            <w:t>i</w:t>
          </w:r>
          <w:r>
            <w:rPr>
              <w:rFonts w:ascii="Calibri" w:eastAsia="Calibri" w:hAnsi="Calibri" w:cs="Calibri"/>
              <w:spacing w:val="1"/>
              <w:sz w:val="20"/>
              <w:szCs w:val="20"/>
            </w:rPr>
            <w:t>n</w:t>
          </w:r>
          <w:r>
            <w:rPr>
              <w:rFonts w:ascii="Calibri" w:eastAsia="Calibri" w:hAnsi="Calibri" w:cs="Calibri"/>
              <w:sz w:val="20"/>
              <w:szCs w:val="20"/>
            </w:rPr>
            <w:t>g</w:t>
          </w:r>
          <w:r>
            <w:rPr>
              <w:rFonts w:ascii="Times New Roman" w:eastAsia="Times New Roman" w:hAnsi="Times New Roman" w:cs="Times New Roman"/>
              <w:spacing w:val="-8"/>
              <w:sz w:val="20"/>
              <w:szCs w:val="20"/>
            </w:rPr>
            <w:t xml:space="preserve"> </w:t>
          </w:r>
          <w:r>
            <w:rPr>
              <w:rFonts w:ascii="Calibri" w:eastAsia="Calibri" w:hAnsi="Calibri" w:cs="Calibri"/>
              <w:spacing w:val="-1"/>
              <w:sz w:val="20"/>
              <w:szCs w:val="20"/>
            </w:rPr>
            <w:t>Gr</w:t>
          </w:r>
          <w:r>
            <w:rPr>
              <w:rFonts w:ascii="Calibri" w:eastAsia="Calibri" w:hAnsi="Calibri" w:cs="Calibri"/>
              <w:spacing w:val="1"/>
              <w:sz w:val="20"/>
              <w:szCs w:val="20"/>
            </w:rPr>
            <w:t>oup</w:t>
          </w:r>
          <w:r>
            <w:rPr>
              <w:rFonts w:ascii="Calibri" w:eastAsia="Calibri" w:hAnsi="Calibri" w:cs="Calibri"/>
              <w:sz w:val="20"/>
              <w:szCs w:val="20"/>
            </w:rPr>
            <w:t>: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</w:t>
          </w:r>
        </w:p>
        <w:p w14:paraId="2C7A9BC6" w14:textId="6587F1DA" w:rsidR="0088557B" w:rsidRPr="006670B3" w:rsidRDefault="00190C19" w:rsidP="0041543F">
          <w:pPr>
            <w:spacing w:after="0" w:line="242" w:lineRule="exact"/>
            <w:ind w:left="97" w:right="73"/>
            <w:rPr>
              <w:rFonts w:ascii="Calibri" w:eastAsia="Calibri" w:hAnsi="Calibri" w:cs="Calibri"/>
              <w:i/>
              <w:sz w:val="20"/>
              <w:szCs w:val="20"/>
            </w:rPr>
          </w:pPr>
          <w:r>
            <w:rPr>
              <w:rFonts w:ascii="Calibri" w:eastAsia="Calibri" w:hAnsi="Calibri" w:cs="Calibri"/>
              <w:i/>
              <w:spacing w:val="1"/>
              <w:sz w:val="20"/>
              <w:szCs w:val="20"/>
            </w:rPr>
            <w:t xml:space="preserve">Data Transparency </w:t>
          </w:r>
        </w:p>
      </w:tc>
    </w:tr>
  </w:tbl>
  <w:p w14:paraId="5D3BB030" w14:textId="77777777" w:rsidR="0088557B" w:rsidRDefault="008855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5F8FA" w14:textId="77777777" w:rsidR="00190C19" w:rsidRDefault="00190C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863E7"/>
    <w:multiLevelType w:val="hybridMultilevel"/>
    <w:tmpl w:val="D1DA2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28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57B"/>
    <w:rsid w:val="00010D39"/>
    <w:rsid w:val="000132E6"/>
    <w:rsid w:val="0007100D"/>
    <w:rsid w:val="000820CB"/>
    <w:rsid w:val="000B430C"/>
    <w:rsid w:val="000E2121"/>
    <w:rsid w:val="000F1BD2"/>
    <w:rsid w:val="00122F0F"/>
    <w:rsid w:val="001260F1"/>
    <w:rsid w:val="00156C1A"/>
    <w:rsid w:val="00157820"/>
    <w:rsid w:val="0016608B"/>
    <w:rsid w:val="00190C19"/>
    <w:rsid w:val="001D0131"/>
    <w:rsid w:val="00213A20"/>
    <w:rsid w:val="00232560"/>
    <w:rsid w:val="00247CF6"/>
    <w:rsid w:val="002650E0"/>
    <w:rsid w:val="00266909"/>
    <w:rsid w:val="00271F89"/>
    <w:rsid w:val="00287A18"/>
    <w:rsid w:val="002B574F"/>
    <w:rsid w:val="00303464"/>
    <w:rsid w:val="003630BD"/>
    <w:rsid w:val="003C68DB"/>
    <w:rsid w:val="003D33AE"/>
    <w:rsid w:val="003F0B03"/>
    <w:rsid w:val="003F59C1"/>
    <w:rsid w:val="00403AA2"/>
    <w:rsid w:val="0043338D"/>
    <w:rsid w:val="004677F2"/>
    <w:rsid w:val="00467F52"/>
    <w:rsid w:val="00473EB8"/>
    <w:rsid w:val="004E6409"/>
    <w:rsid w:val="005034FE"/>
    <w:rsid w:val="00530127"/>
    <w:rsid w:val="005B2115"/>
    <w:rsid w:val="005C0843"/>
    <w:rsid w:val="005C72AD"/>
    <w:rsid w:val="005F36EC"/>
    <w:rsid w:val="00600644"/>
    <w:rsid w:val="006277A5"/>
    <w:rsid w:val="0066260F"/>
    <w:rsid w:val="00681863"/>
    <w:rsid w:val="00684DB3"/>
    <w:rsid w:val="006F593E"/>
    <w:rsid w:val="006F6031"/>
    <w:rsid w:val="00711903"/>
    <w:rsid w:val="00715D31"/>
    <w:rsid w:val="0073777A"/>
    <w:rsid w:val="00750DDF"/>
    <w:rsid w:val="007631E2"/>
    <w:rsid w:val="007C534D"/>
    <w:rsid w:val="007ECA62"/>
    <w:rsid w:val="008019FC"/>
    <w:rsid w:val="00881C52"/>
    <w:rsid w:val="0088557B"/>
    <w:rsid w:val="00891D4F"/>
    <w:rsid w:val="008C526D"/>
    <w:rsid w:val="00915ADF"/>
    <w:rsid w:val="009162DA"/>
    <w:rsid w:val="00926162"/>
    <w:rsid w:val="009C4AF6"/>
    <w:rsid w:val="009F7703"/>
    <w:rsid w:val="00A16FE0"/>
    <w:rsid w:val="00A32199"/>
    <w:rsid w:val="00A51BCF"/>
    <w:rsid w:val="00A52BD9"/>
    <w:rsid w:val="00A86EFC"/>
    <w:rsid w:val="00AA1021"/>
    <w:rsid w:val="00AB18D5"/>
    <w:rsid w:val="00AC611E"/>
    <w:rsid w:val="00B00E49"/>
    <w:rsid w:val="00B16112"/>
    <w:rsid w:val="00B31CA6"/>
    <w:rsid w:val="00B47A0E"/>
    <w:rsid w:val="00B65BEB"/>
    <w:rsid w:val="00B912F4"/>
    <w:rsid w:val="00B96054"/>
    <w:rsid w:val="00BF4166"/>
    <w:rsid w:val="00C00DD5"/>
    <w:rsid w:val="00C409A4"/>
    <w:rsid w:val="00C76FA0"/>
    <w:rsid w:val="00CC0C90"/>
    <w:rsid w:val="00CF5373"/>
    <w:rsid w:val="00D04718"/>
    <w:rsid w:val="00D7207E"/>
    <w:rsid w:val="00D90EAF"/>
    <w:rsid w:val="00DA0B32"/>
    <w:rsid w:val="00DA36D7"/>
    <w:rsid w:val="00DA4364"/>
    <w:rsid w:val="00DA5326"/>
    <w:rsid w:val="00DC3909"/>
    <w:rsid w:val="00E3155C"/>
    <w:rsid w:val="00E34EC4"/>
    <w:rsid w:val="00E432B0"/>
    <w:rsid w:val="00E460ED"/>
    <w:rsid w:val="00E95A99"/>
    <w:rsid w:val="00EC36EC"/>
    <w:rsid w:val="00ED3FA6"/>
    <w:rsid w:val="00EF2673"/>
    <w:rsid w:val="00F2638E"/>
    <w:rsid w:val="01BD4FED"/>
    <w:rsid w:val="04890AF3"/>
    <w:rsid w:val="08CA2DD2"/>
    <w:rsid w:val="0A4097C9"/>
    <w:rsid w:val="0BDC682A"/>
    <w:rsid w:val="0C356242"/>
    <w:rsid w:val="0FC403E0"/>
    <w:rsid w:val="146AFC4F"/>
    <w:rsid w:val="147B3C5A"/>
    <w:rsid w:val="16A635F4"/>
    <w:rsid w:val="1C865CC5"/>
    <w:rsid w:val="20256E68"/>
    <w:rsid w:val="226ADD54"/>
    <w:rsid w:val="241B8B93"/>
    <w:rsid w:val="24B24A47"/>
    <w:rsid w:val="27DFC107"/>
    <w:rsid w:val="298E691F"/>
    <w:rsid w:val="2B5CAF29"/>
    <w:rsid w:val="2C6A6577"/>
    <w:rsid w:val="2CF6C437"/>
    <w:rsid w:val="2E0635D8"/>
    <w:rsid w:val="3456DFEA"/>
    <w:rsid w:val="350E32D1"/>
    <w:rsid w:val="3C0E5FEA"/>
    <w:rsid w:val="3D876E5F"/>
    <w:rsid w:val="44ED0F13"/>
    <w:rsid w:val="456C01BE"/>
    <w:rsid w:val="47DA5AE3"/>
    <w:rsid w:val="48CB9E49"/>
    <w:rsid w:val="498F9189"/>
    <w:rsid w:val="4EF3F143"/>
    <w:rsid w:val="506D0DEA"/>
    <w:rsid w:val="528846DA"/>
    <w:rsid w:val="54C6C7DF"/>
    <w:rsid w:val="5890A488"/>
    <w:rsid w:val="595890EB"/>
    <w:rsid w:val="6142D363"/>
    <w:rsid w:val="617FC7D9"/>
    <w:rsid w:val="63572F78"/>
    <w:rsid w:val="65FA1A77"/>
    <w:rsid w:val="6AFA2720"/>
    <w:rsid w:val="6E402D78"/>
    <w:rsid w:val="6FBEF756"/>
    <w:rsid w:val="70676CCA"/>
    <w:rsid w:val="70E20376"/>
    <w:rsid w:val="728B51D9"/>
    <w:rsid w:val="72F69818"/>
    <w:rsid w:val="74038368"/>
    <w:rsid w:val="74815A7A"/>
    <w:rsid w:val="78E6A097"/>
    <w:rsid w:val="7AE7F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C7FC7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630BD"/>
    <w:pPr>
      <w:widowControl w:val="0"/>
      <w:spacing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A53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557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57B"/>
  </w:style>
  <w:style w:type="paragraph" w:styleId="Footer">
    <w:name w:val="footer"/>
    <w:basedOn w:val="Normal"/>
    <w:link w:val="FooterChar"/>
    <w:uiPriority w:val="99"/>
    <w:unhideWhenUsed/>
    <w:rsid w:val="0088557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57B"/>
  </w:style>
  <w:style w:type="paragraph" w:styleId="BalloonText">
    <w:name w:val="Balloon Text"/>
    <w:basedOn w:val="Normal"/>
    <w:link w:val="BalloonTextChar"/>
    <w:uiPriority w:val="99"/>
    <w:semiHidden/>
    <w:unhideWhenUsed/>
    <w:rsid w:val="008855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57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A53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DA5326"/>
    <w:pPr>
      <w:widowControl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A532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A532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A0B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56C1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034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34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34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4F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D33AE"/>
    <w:pPr>
      <w:spacing w:line="240" w:lineRule="auto"/>
    </w:pPr>
  </w:style>
  <w:style w:type="character" w:styleId="UnresolvedMention">
    <w:name w:val="Unresolved Mention"/>
    <w:basedOn w:val="DefaultParagraphFont"/>
    <w:uiPriority w:val="99"/>
    <w:rsid w:val="00881C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2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22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6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workinggroups@phuse.global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C0018AB32B34F9BDC0FA89D275C1C" ma:contentTypeVersion="10" ma:contentTypeDescription="Create a new document." ma:contentTypeScope="" ma:versionID="7cb69695fafa9b20e93d84b4cd39c7f5">
  <xsd:schema xmlns:xsd="http://www.w3.org/2001/XMLSchema" xmlns:xs="http://www.w3.org/2001/XMLSchema" xmlns:p="http://schemas.microsoft.com/office/2006/metadata/properties" xmlns:ns2="cb6ef305-4931-4161-991e-0858145f1e12" xmlns:ns3="9311dbd5-f6aa-4780-859e-a83d83c6ae5a" targetNamespace="http://schemas.microsoft.com/office/2006/metadata/properties" ma:root="true" ma:fieldsID="39e559ac47792617ffb6bc909d52d17f" ns2:_="" ns3:_="">
    <xsd:import namespace="cb6ef305-4931-4161-991e-0858145f1e12"/>
    <xsd:import namespace="9311dbd5-f6aa-4780-859e-a83d83c6a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ef305-4931-4161-991e-0858145f1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1dbd5-f6aa-4780-859e-a83d83c6a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956862-4DBA-4CBB-9E24-D40540D127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BE05C0-E5AF-4578-8738-25F987332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6ef305-4931-4161-991e-0858145f1e12"/>
    <ds:schemaRef ds:uri="9311dbd5-f6aa-4780-859e-a83d83c6a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C6DC5E-A08B-FF43-A4C6-19FF150FBD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3CC69E-0E4B-41D9-B1EF-2A16615684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416</Words>
  <Characters>2373</Characters>
  <Application>Microsoft Office Word</Application>
  <DocSecurity>0</DocSecurity>
  <Lines>19</Lines>
  <Paragraphs>5</Paragraphs>
  <ScaleCrop>false</ScaleCrop>
  <Company>Celgene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Nicky Newton</cp:lastModifiedBy>
  <cp:revision>3</cp:revision>
  <dcterms:created xsi:type="dcterms:W3CDTF">2024-04-04T13:28:00Z</dcterms:created>
  <dcterms:modified xsi:type="dcterms:W3CDTF">2024-04-04T13:28:00Z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0x01010030AC0018AB32B34F9BDC0FA89D275C1C</vt:lpwstr>
  </property>
  <property fmtid="{D5CDD505-2E9C-101B-9397-08002B2CF9AE}" pid="3" name="MSIP_Label_91c3eb4a-971d-4205-bf9b-3ef1bb75e06e_Enabled">
    <vt:lpwstr>true</vt:lpwstr>
  </property>
  <property fmtid="{D5CDD505-2E9C-101B-9397-08002B2CF9AE}" pid="4" name="MSIP_Label_91c3eb4a-971d-4205-bf9b-3ef1bb75e06e_SetDate">
    <vt:lpwstr>2023-08-11T14:53:25Z</vt:lpwstr>
  </property>
  <property fmtid="{D5CDD505-2E9C-101B-9397-08002B2CF9AE}" pid="5" name="MSIP_Label_91c3eb4a-971d-4205-bf9b-3ef1bb75e06e_Method">
    <vt:lpwstr>Privileged</vt:lpwstr>
  </property>
  <property fmtid="{D5CDD505-2E9C-101B-9397-08002B2CF9AE}" pid="6" name="MSIP_Label_91c3eb4a-971d-4205-bf9b-3ef1bb75e06e_Name">
    <vt:lpwstr>Public</vt:lpwstr>
  </property>
  <property fmtid="{D5CDD505-2E9C-101B-9397-08002B2CF9AE}" pid="7" name="MSIP_Label_91c3eb4a-971d-4205-bf9b-3ef1bb75e06e_SiteId">
    <vt:lpwstr>06fe4af5-9412-436c-acdb-444ee0010489</vt:lpwstr>
  </property>
  <property fmtid="{D5CDD505-2E9C-101B-9397-08002B2CF9AE}" pid="8" name="MSIP_Label_91c3eb4a-971d-4205-bf9b-3ef1bb75e06e_ActionId">
    <vt:lpwstr>00a9c806-bec5-4b5f-82a8-880639184b30</vt:lpwstr>
  </property>
  <property fmtid="{D5CDD505-2E9C-101B-9397-08002B2CF9AE}" pid="9" name="MSIP_Label_91c3eb4a-971d-4205-bf9b-3ef1bb75e06e_ContentBits">
    <vt:lpwstr>0</vt:lpwstr>
  </property>
</Properties>
</file>